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ascii="华文中宋" w:hAnsi="华文中宋" w:eastAsia="华文中宋" w:cs="宋体"/>
          <w:b/>
          <w:kern w:val="0"/>
          <w:sz w:val="52"/>
          <w:szCs w:val="52"/>
        </w:rPr>
      </w:pPr>
    </w:p>
    <w:p>
      <w:pPr>
        <w:spacing w:line="540" w:lineRule="exact"/>
        <w:jc w:val="both"/>
        <w:rPr>
          <w:rFonts w:ascii="华文中宋" w:hAnsi="华文中宋" w:eastAsia="华文中宋" w:cs="宋体"/>
          <w:b/>
          <w:kern w:val="0"/>
          <w:sz w:val="52"/>
          <w:szCs w:val="52"/>
        </w:rPr>
      </w:pPr>
    </w:p>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楷体" w:cs="宋体"/>
          <w:kern w:val="0"/>
          <w:sz w:val="36"/>
          <w:szCs w:val="36"/>
          <w:lang w:eastAsia="zh-CN"/>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华侨事</w:t>
      </w:r>
      <w:r>
        <w:rPr>
          <w:rStyle w:val="17"/>
          <w:rFonts w:hint="eastAsia" w:ascii="楷体" w:hAnsi="楷体" w:eastAsia="楷体"/>
          <w:spacing w:val="-4"/>
          <w:sz w:val="32"/>
          <w:szCs w:val="32"/>
          <w:lang w:eastAsia="zh-CN"/>
        </w:rPr>
        <w:t>务</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新疆维吾尔自治区归国华侨联合会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新疆维吾尔自治区归国华侨联合会</w:t>
      </w:r>
    </w:p>
    <w:p>
      <w:pPr>
        <w:spacing w:line="540" w:lineRule="exact"/>
        <w:ind w:firstLine="900" w:firstLineChars="250"/>
        <w:rPr>
          <w:rFonts w:hint="eastAsia" w:ascii="楷体" w:hAnsi="楷体" w:eastAsia="楷体"/>
          <w:b/>
          <w:bCs/>
          <w:spacing w:val="-4"/>
          <w:sz w:val="32"/>
          <w:szCs w:val="32"/>
          <w:lang w:eastAsia="zh-CN"/>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黄婧娟、</w:t>
      </w:r>
      <w:r>
        <w:rPr>
          <w:rStyle w:val="17"/>
          <w:rFonts w:hint="eastAsia" w:ascii="楷体" w:hAnsi="楷体" w:eastAsia="楷体"/>
          <w:spacing w:val="-4"/>
          <w:sz w:val="32"/>
          <w:szCs w:val="32"/>
          <w:lang w:eastAsia="zh-CN"/>
        </w:rPr>
        <w:t>周海涛</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2026年04月10日</w:t>
      </w:r>
    </w:p>
    <w:p>
      <w:pPr>
        <w:spacing w:line="700" w:lineRule="exact"/>
        <w:ind w:firstLine="708" w:firstLineChars="236"/>
        <w:jc w:val="left"/>
        <w:rPr>
          <w:rFonts w:hAnsi="宋体" w:eastAsia="仿宋_GB2312" w:cs="宋体"/>
          <w:kern w:val="0"/>
          <w:sz w:val="30"/>
          <w:szCs w:val="30"/>
        </w:rPr>
      </w:pPr>
    </w:p>
    <w:p>
      <w:pPr>
        <w:spacing w:line="700" w:lineRule="exact"/>
        <w:ind w:firstLine="708" w:firstLineChars="236"/>
        <w:jc w:val="left"/>
        <w:rPr>
          <w:rFonts w:hAnsi="宋体" w:eastAsia="仿宋_GB2312" w:cs="宋体"/>
          <w:kern w:val="0"/>
          <w:sz w:val="30"/>
          <w:szCs w:val="30"/>
        </w:rPr>
      </w:pPr>
    </w:p>
    <w:p>
      <w:pPr>
        <w:spacing w:line="700" w:lineRule="exact"/>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24" w:firstLineChars="200"/>
        <w:rPr>
          <w:rStyle w:val="17"/>
          <w:rFonts w:hint="eastAsia" w:ascii="黑体" w:hAnsi="黑体" w:eastAsia="黑体" w:cs="黑体"/>
          <w:b w:val="0"/>
          <w:bCs/>
          <w:spacing w:val="-4"/>
          <w:sz w:val="32"/>
          <w:szCs w:val="32"/>
        </w:rPr>
      </w:pPr>
      <w:r>
        <w:rPr>
          <w:rStyle w:val="17"/>
          <w:rFonts w:hint="eastAsia" w:ascii="黑体" w:hAnsi="黑体" w:eastAsia="黑体" w:cs="黑体"/>
          <w:b w:val="0"/>
          <w:bCs/>
          <w:spacing w:val="-4"/>
          <w:sz w:val="32"/>
          <w:szCs w:val="32"/>
        </w:rPr>
        <w:t>一、基本情况</w:t>
      </w:r>
    </w:p>
    <w:p>
      <w:pPr>
        <w:spacing w:line="540" w:lineRule="exact"/>
        <w:ind w:firstLine="567"/>
        <w:rPr>
          <w:rStyle w:val="17"/>
          <w:rFonts w:hint="eastAsia" w:ascii="楷体_GB2312" w:hAnsi="楷体_GB2312" w:eastAsia="楷体_GB2312" w:cs="楷体_GB2312"/>
          <w:b/>
          <w:bCs w:val="0"/>
          <w:spacing w:val="-4"/>
          <w:sz w:val="32"/>
          <w:szCs w:val="32"/>
        </w:rPr>
      </w:pPr>
      <w:r>
        <w:rPr>
          <w:rStyle w:val="17"/>
          <w:rFonts w:hint="eastAsia" w:ascii="楷体_GB2312" w:hAnsi="楷体_GB2312" w:eastAsia="楷体_GB2312" w:cs="楷体_GB2312"/>
          <w:b/>
          <w:bCs w:val="0"/>
          <w:spacing w:val="-4"/>
          <w:sz w:val="32"/>
          <w:szCs w:val="32"/>
        </w:rPr>
        <w:t>（一）项目概况</w:t>
      </w:r>
    </w:p>
    <w:p>
      <w:pPr>
        <w:spacing w:line="540" w:lineRule="exact"/>
        <w:ind w:left="638" w:leftChars="304" w:firstLine="0" w:firstLineChars="0"/>
        <w:rPr>
          <w:rStyle w:val="17"/>
          <w:rFonts w:hint="eastAsia" w:ascii="仿宋_GB2312" w:hAnsi="仿宋_GB2312" w:eastAsia="仿宋_GB2312" w:cs="仿宋_GB2312"/>
          <w:b/>
          <w:bCs w:val="0"/>
          <w:spacing w:val="-4"/>
          <w:sz w:val="32"/>
          <w:szCs w:val="32"/>
        </w:rPr>
      </w:pPr>
      <w:r>
        <w:rPr>
          <w:rStyle w:val="17"/>
          <w:rFonts w:hint="eastAsia" w:ascii="仿宋_GB2312" w:hAnsi="仿宋_GB2312" w:eastAsia="仿宋_GB2312" w:cs="仿宋_GB2312"/>
          <w:b/>
          <w:bCs w:val="0"/>
          <w:spacing w:val="-4"/>
          <w:sz w:val="32"/>
          <w:szCs w:val="32"/>
        </w:rPr>
        <w:t>1.项目背景</w:t>
      </w:r>
    </w:p>
    <w:p>
      <w:pPr>
        <w:spacing w:line="54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华侨事务”专项经费，支持各级侨联履行职责，组织开展各种涉侨活动，推动侨联事业发展，大力开展“请进来、走出去”联谊活动，倾情做好惠侨暖侨工作，凝聚广大归侨侨眷和海外侨胞，切实讲好中国故事、讲好美丽新疆故事。</w:t>
      </w:r>
    </w:p>
    <w:p>
      <w:pPr>
        <w:spacing w:line="540" w:lineRule="exact"/>
        <w:ind w:left="638" w:leftChars="304" w:firstLine="0" w:firstLineChars="0"/>
        <w:rPr>
          <w:rStyle w:val="17"/>
          <w:rFonts w:hint="eastAsia" w:ascii="仿宋_GB2312" w:hAnsi="仿宋_GB2312" w:eastAsia="仿宋_GB2312" w:cs="仿宋_GB2312"/>
          <w:b/>
          <w:bCs w:val="0"/>
          <w:spacing w:val="-4"/>
          <w:sz w:val="32"/>
          <w:szCs w:val="32"/>
        </w:rPr>
      </w:pPr>
      <w:r>
        <w:rPr>
          <w:rStyle w:val="17"/>
          <w:rFonts w:hint="eastAsia" w:ascii="仿宋_GB2312" w:hAnsi="仿宋_GB2312" w:eastAsia="仿宋_GB2312" w:cs="仿宋_GB2312"/>
          <w:b/>
          <w:bCs w:val="0"/>
          <w:spacing w:val="-4"/>
          <w:sz w:val="32"/>
          <w:szCs w:val="32"/>
        </w:rPr>
        <w:t>2.主要内容及实施情况</w:t>
      </w:r>
    </w:p>
    <w:p>
      <w:pPr>
        <w:spacing w:line="54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一是组织侨联干部培训1期，提升我区基层侨联专兼挂干部、涉侨社团组织骨干、“侨胞之家”负责人、侨界志愿者等基层侨联工作者能力水平；二是开展侨爱心—送温暖医疗队项目，让广大人民群众享受到真真切切、实实在在的高质量的医疗服务；三是联合各地州市侨联对我区困难归侨侨眷开展慰问活动，使广大归侨侨眷切实感受到党和政府的关心和温暖；四是开展“亲情中华·为你讲故事”海外华裔青少年夏令营活动，增进海外侨胞及其子女对祖籍国认同和情感；五是开展“追梦中华·大美新疆”2025海外华文媒体新疆采访行活动，向世界展示一个真实、立体、全面的中国新疆；六是通过开展“感恩伟大祖国”庆祝建国75周年系列活动增进侨界群众爱党、爱国、爱家乡情感，凝聚侨心侨力侨智，铸牢中华民族共同体意识，同心共圆中国梦。</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仿宋_GB2312" w:hAnsi="仿宋_GB2312" w:eastAsia="仿宋_GB2312" w:cs="仿宋_GB2312"/>
          <w:b/>
          <w:bCs w:val="0"/>
          <w:spacing w:val="-4"/>
          <w:sz w:val="32"/>
          <w:szCs w:val="32"/>
        </w:rPr>
        <w:t xml:space="preserve"> 3.资金投入和使用情况</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本项目年初预算225万元，全年预算执行数223.6万元，执行率99.38%。本项目全部资金用于华侨事务的各项活动开展，各项活动达到预期效果。</w:t>
      </w:r>
    </w:p>
    <w:p>
      <w:pPr>
        <w:spacing w:line="540" w:lineRule="exact"/>
        <w:ind w:firstLine="627" w:firstLineChars="200"/>
        <w:rPr>
          <w:rStyle w:val="17"/>
          <w:rFonts w:hint="eastAsia" w:ascii="楷体_GB2312" w:hAnsi="楷体_GB2312" w:eastAsia="楷体_GB2312" w:cs="楷体_GB2312"/>
          <w:b/>
          <w:bCs w:val="0"/>
          <w:spacing w:val="-4"/>
          <w:sz w:val="32"/>
          <w:szCs w:val="32"/>
        </w:rPr>
      </w:pPr>
      <w:r>
        <w:rPr>
          <w:rStyle w:val="17"/>
          <w:rFonts w:hint="eastAsia" w:ascii="楷体_GB2312" w:hAnsi="楷体_GB2312" w:eastAsia="楷体_GB2312" w:cs="楷体_GB2312"/>
          <w:b/>
          <w:bCs w:val="0"/>
          <w:spacing w:val="-4"/>
          <w:sz w:val="32"/>
          <w:szCs w:val="32"/>
        </w:rPr>
        <w:t>（二）项目绩效目标</w:t>
      </w:r>
    </w:p>
    <w:p>
      <w:pPr>
        <w:spacing w:line="540" w:lineRule="exact"/>
        <w:ind w:firstLine="627" w:firstLineChars="200"/>
        <w:rPr>
          <w:rStyle w:val="17"/>
          <w:rFonts w:hint="eastAsia" w:ascii="仿宋_GB2312" w:hAnsi="仿宋_GB2312" w:eastAsia="仿宋_GB2312" w:cs="仿宋_GB2312"/>
          <w:b/>
          <w:bCs w:val="0"/>
          <w:spacing w:val="-4"/>
          <w:sz w:val="32"/>
          <w:szCs w:val="32"/>
        </w:rPr>
      </w:pPr>
      <w:r>
        <w:rPr>
          <w:rStyle w:val="17"/>
          <w:rFonts w:hint="eastAsia" w:ascii="仿宋_GB2312" w:hAnsi="仿宋_GB2312" w:eastAsia="仿宋_GB2312" w:cs="仿宋_GB2312"/>
          <w:b/>
          <w:bCs w:val="0"/>
          <w:spacing w:val="-4"/>
          <w:sz w:val="32"/>
          <w:szCs w:val="32"/>
        </w:rPr>
        <w:t>1.总体目标</w:t>
      </w:r>
    </w:p>
    <w:p>
      <w:pPr>
        <w:spacing w:line="54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保证侨联围绕中心，服务大局，服务侨胞，落实中侨工作部署，调研基层侨联工作，促进全区侨联工作；开展各类涉侨活动，增强广大归侨侨眷和海外侨胞的凝聚力；加强基层侨联组织建设，做好暖侨慰问工作，保障侨界群众的合法权益。</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仿宋_GB2312" w:hAnsi="仿宋_GB2312" w:eastAsia="仿宋_GB2312" w:cs="仿宋_GB2312"/>
          <w:b/>
          <w:bCs w:val="0"/>
          <w:spacing w:val="-4"/>
          <w:sz w:val="32"/>
          <w:szCs w:val="32"/>
        </w:rPr>
        <w:t xml:space="preserve">  2.阶段性目标</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计划在1月至3月，开展“亲情中华·为你讲故事”海外华裔青少年夏令营网上营活动。3至5月，联合各地州市侨联对我区困难归侨侨眷开展慰问活动，使广大归侨侨眷切实感受到党和政府的关心和温暖；同时下拨地州侨胞之家建设提升项目经费，打造升级特色侨胞之家。6月开展“追梦中华·大美新疆”海外华文媒体新疆采访行通过海外华文媒体宣传报道向世界展示一个真实、立体、全面的中国新疆。7月，开展2024年海外新疆籍华裔青少年“中国寻根之旅”夏令营活动参营人数，做好海外新疆籍华裔新生代工作，增进海外侨胞及其子女对祖籍国认同和情感。8月开展侨联干部培训班，以侨联干部培训为抓手，提升我区基层侨联专兼挂干部、涉侨社团组织骨干、“侨胞之家”负责人、侨界志愿者等基层侨联工作者能力水平。</w:t>
      </w:r>
    </w:p>
    <w:p>
      <w:pPr>
        <w:spacing w:line="540" w:lineRule="exact"/>
        <w:ind w:firstLine="640"/>
        <w:rPr>
          <w:rStyle w:val="17"/>
          <w:rFonts w:hint="eastAsia" w:ascii="黑体" w:hAnsi="黑体" w:eastAsia="黑体" w:cs="黑体"/>
          <w:b w:val="0"/>
          <w:bCs/>
          <w:spacing w:val="-4"/>
          <w:sz w:val="32"/>
          <w:szCs w:val="32"/>
        </w:rPr>
      </w:pPr>
      <w:r>
        <w:rPr>
          <w:rStyle w:val="17"/>
          <w:rFonts w:hint="eastAsia" w:ascii="黑体" w:hAnsi="黑体" w:eastAsia="黑体" w:cs="黑体"/>
          <w:b w:val="0"/>
          <w:bCs/>
          <w:spacing w:val="-4"/>
          <w:sz w:val="32"/>
          <w:szCs w:val="32"/>
        </w:rPr>
        <w:t>二、绩效评价工作开展情况</w:t>
      </w:r>
    </w:p>
    <w:p>
      <w:pPr>
        <w:spacing w:line="540" w:lineRule="exact"/>
        <w:ind w:firstLine="567" w:firstLineChars="181"/>
        <w:rPr>
          <w:rStyle w:val="17"/>
          <w:rFonts w:hint="eastAsia" w:ascii="仿宋_GB2312" w:hAnsi="仿宋_GB2312" w:eastAsia="仿宋_GB2312" w:cs="仿宋_GB2312"/>
          <w:b w:val="0"/>
          <w:bCs/>
          <w:spacing w:val="-4"/>
          <w:sz w:val="32"/>
          <w:szCs w:val="32"/>
        </w:rPr>
      </w:pPr>
      <w:r>
        <w:rPr>
          <w:rStyle w:val="17"/>
          <w:rFonts w:hint="eastAsia" w:ascii="楷体_GB2312" w:hAnsi="楷体_GB2312" w:eastAsia="楷体_GB2312" w:cs="楷体_GB2312"/>
          <w:b/>
          <w:bCs w:val="0"/>
          <w:spacing w:val="-4"/>
          <w:sz w:val="32"/>
          <w:szCs w:val="32"/>
        </w:rPr>
        <w:t>（一）绩效评价目的、对象和范围</w:t>
      </w:r>
    </w:p>
    <w:p>
      <w:pPr>
        <w:spacing w:line="540" w:lineRule="exact"/>
        <w:ind w:firstLine="567"/>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bCs w:val="0"/>
          <w:spacing w:val="-4"/>
          <w:sz w:val="32"/>
          <w:szCs w:val="32"/>
        </w:rPr>
        <w:t>1.评价目的</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val="0"/>
          <w:bCs/>
          <w:spacing w:val="-4"/>
          <w:sz w:val="32"/>
          <w:szCs w:val="32"/>
        </w:rPr>
        <w:t>通过绩效评价客观公正反映本项目立项科学性、项目绩效目标设立的合理性、项目管理规范性、项目实施有效性和项目效果，总结华侨事务项目实施的经验，发现项目实施过程中未达标的指标，并根据评价结果提出项目改进措施，为完善项目管理和业务部门项目预算提供参考依据。</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bCs w:val="0"/>
          <w:spacing w:val="-4"/>
          <w:sz w:val="32"/>
          <w:szCs w:val="32"/>
          <w:lang w:val="en-US" w:eastAsia="zh-CN"/>
        </w:rPr>
        <w:t xml:space="preserve"> </w:t>
      </w:r>
      <w:r>
        <w:rPr>
          <w:rStyle w:val="17"/>
          <w:rFonts w:hint="eastAsia" w:ascii="仿宋_GB2312" w:hAnsi="仿宋_GB2312" w:eastAsia="仿宋_GB2312" w:cs="仿宋_GB2312"/>
          <w:b/>
          <w:bCs w:val="0"/>
          <w:spacing w:val="-4"/>
          <w:sz w:val="32"/>
          <w:szCs w:val="32"/>
        </w:rPr>
        <w:t>2.评价对象和范围</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val="0"/>
          <w:bCs/>
          <w:spacing w:val="-4"/>
          <w:sz w:val="32"/>
          <w:szCs w:val="32"/>
        </w:rPr>
        <w:t>本次绩效评价的对象为：2025年度“华侨事务”项目。</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val="0"/>
          <w:bCs/>
          <w:spacing w:val="-4"/>
          <w:sz w:val="32"/>
          <w:szCs w:val="32"/>
        </w:rPr>
        <w:t>本项目评价范围为：一是时间范围，2025年1月1日-2025年12月31日。二是评价内容范围，主要包括：项目的基本情况，评价工作的开展情况，项目实现的产出情况、取得的效益情况，主要经验及做法、存在的问题及原因分析等。</w:t>
      </w:r>
    </w:p>
    <w:p>
      <w:pPr>
        <w:spacing w:line="540" w:lineRule="exact"/>
        <w:ind w:firstLine="567" w:firstLineChars="181"/>
        <w:rPr>
          <w:rStyle w:val="17"/>
          <w:rFonts w:hint="eastAsia" w:ascii="楷体_GB2312" w:hAnsi="楷体_GB2312" w:eastAsia="楷体_GB2312" w:cs="楷体_GB2312"/>
          <w:b/>
          <w:bCs w:val="0"/>
          <w:spacing w:val="-4"/>
          <w:sz w:val="32"/>
          <w:szCs w:val="32"/>
        </w:rPr>
      </w:pPr>
      <w:r>
        <w:rPr>
          <w:rStyle w:val="17"/>
          <w:rFonts w:hint="eastAsia" w:ascii="楷体_GB2312" w:hAnsi="楷体_GB2312" w:eastAsia="楷体_GB2312" w:cs="楷体_GB2312"/>
          <w:b/>
          <w:bCs w:val="0"/>
          <w:spacing w:val="-4"/>
          <w:sz w:val="32"/>
          <w:szCs w:val="32"/>
        </w:rPr>
        <w:t>（二）绩效评价原则、评价指标体系（附表说明）、评价方法、评价标准等</w:t>
      </w:r>
    </w:p>
    <w:p>
      <w:pPr>
        <w:spacing w:line="540" w:lineRule="exact"/>
        <w:ind w:firstLine="627" w:firstLineChars="200"/>
        <w:rPr>
          <w:rStyle w:val="17"/>
          <w:rFonts w:hint="eastAsia" w:ascii="仿宋_GB2312" w:hAnsi="仿宋_GB2312" w:eastAsia="仿宋_GB2312" w:cs="仿宋_GB2312"/>
          <w:b/>
          <w:bCs w:val="0"/>
          <w:spacing w:val="-4"/>
          <w:sz w:val="32"/>
          <w:szCs w:val="32"/>
        </w:rPr>
      </w:pPr>
      <w:r>
        <w:rPr>
          <w:rStyle w:val="17"/>
          <w:rFonts w:hint="eastAsia" w:ascii="仿宋_GB2312" w:hAnsi="仿宋_GB2312" w:eastAsia="仿宋_GB2312" w:cs="仿宋_GB2312"/>
          <w:b/>
          <w:bCs w:val="0"/>
          <w:spacing w:val="-4"/>
          <w:sz w:val="32"/>
          <w:szCs w:val="32"/>
        </w:rPr>
        <w:t>1.评价原则</w:t>
      </w:r>
    </w:p>
    <w:p>
      <w:pPr>
        <w:spacing w:line="54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本项目遵照科学规范、公开公正、分级分类、绩效相关等原则开展绩效评价工作，结合华侨事务项目特点，注重财政支出的经济性、效率性、效益性和公平性，严格执行规定的程序，采用定量与定性分析相结合的方法对投入、产出进行评价。</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仿宋_GB2312" w:hAnsi="仿宋_GB2312" w:eastAsia="仿宋_GB2312" w:cs="仿宋_GB2312"/>
          <w:b/>
          <w:bCs w:val="0"/>
          <w:spacing w:val="-4"/>
          <w:sz w:val="32"/>
          <w:szCs w:val="32"/>
        </w:rPr>
        <w:t>2.评价指标体系</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根据财政部《项目支出绩效评价管理办法》（财预〔2020〕10号）文件规定，本次评价指标体系内容包括决策、过程、产出、效益4个一级指标，满分100分。一是决策（20分），主要评价项目立项、绩效目标、资金投入情况。二是过程（20分），主要评价资金管理、组织实施情况。三是产出（45分），主要评价产出数量、产出质量、产出时效、产出成本情况。四是效益（15分），主要评价项目效益，如社会效益、满意度相关情况。具体评价指标体系详情见附件1。</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bCs w:val="0"/>
          <w:spacing w:val="-4"/>
          <w:sz w:val="32"/>
          <w:szCs w:val="32"/>
          <w:lang w:val="en-US" w:eastAsia="zh-CN"/>
        </w:rPr>
        <w:t xml:space="preserve"> </w:t>
      </w:r>
      <w:r>
        <w:rPr>
          <w:rStyle w:val="17"/>
          <w:rFonts w:hint="eastAsia" w:ascii="仿宋_GB2312" w:hAnsi="仿宋_GB2312" w:eastAsia="仿宋_GB2312" w:cs="仿宋_GB2312"/>
          <w:b/>
          <w:bCs w:val="0"/>
          <w:spacing w:val="-4"/>
          <w:sz w:val="32"/>
          <w:szCs w:val="32"/>
        </w:rPr>
        <w:t>3.绩效评价方法</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val="0"/>
          <w:bCs/>
          <w:spacing w:val="-4"/>
          <w:sz w:val="32"/>
          <w:szCs w:val="32"/>
        </w:rPr>
        <w:t>根据自治区归国华侨联合会“华侨事务”—专项业务费项目的特点，本次绩效评价主要采用比较法，主要通过对绩效目标与实施效果、历史与当期情况、不同部门和地区同类支出的比较，综合分析绩效目标实现程度。</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仿宋_GB2312" w:hAnsi="仿宋_GB2312" w:eastAsia="仿宋_GB2312" w:cs="仿宋_GB2312"/>
          <w:b/>
          <w:bCs w:val="0"/>
          <w:spacing w:val="-4"/>
          <w:sz w:val="32"/>
          <w:szCs w:val="32"/>
        </w:rPr>
        <w:t xml:space="preserve"> 4.标准和依据</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根据本项目实际情况，本次绩效评价采用计划标准。主要依据工作规划、工作经费预算支出计划、年初设定的绩效目标，对比分析项目产出、效益的完成情况。旨在通过与实际完成值进行对比，通过测算计划值完成比例，达成绩效评价目的。</w:t>
      </w:r>
    </w:p>
    <w:p>
      <w:pPr>
        <w:spacing w:line="540" w:lineRule="exact"/>
        <w:ind w:firstLine="567" w:firstLineChars="181"/>
        <w:rPr>
          <w:rStyle w:val="17"/>
          <w:rFonts w:hint="eastAsia" w:ascii="楷体_GB2312" w:hAnsi="楷体_GB2312" w:eastAsia="楷体_GB2312" w:cs="楷体_GB2312"/>
          <w:b/>
          <w:bCs w:val="0"/>
          <w:spacing w:val="-4"/>
          <w:sz w:val="32"/>
          <w:szCs w:val="32"/>
        </w:rPr>
      </w:pPr>
      <w:r>
        <w:rPr>
          <w:rStyle w:val="17"/>
          <w:rFonts w:hint="eastAsia" w:ascii="楷体_GB2312" w:hAnsi="楷体_GB2312" w:eastAsia="楷体_GB2312" w:cs="楷体_GB2312"/>
          <w:b/>
          <w:bCs w:val="0"/>
          <w:spacing w:val="-4"/>
          <w:sz w:val="32"/>
          <w:szCs w:val="32"/>
        </w:rPr>
        <w:t>（三）绩效评价工作过程。</w:t>
      </w:r>
    </w:p>
    <w:p>
      <w:pPr>
        <w:spacing w:line="54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1.前期准备（2026年3月25日-28日）。成立专门的绩效评价项目小组。项目小组通过内部仔细分析讨论以及向相关专家咨询意见，对华侨事务项目的情况进一步梳理，确定绩效评价关注的重点，制定出了本次绩效评价实施方案。从项目内容出发，按财政部《项目支出绩效评价管理办法》(财预〔2020〕10号)文件要求，结合该项目总目标，设立科学合理的绩效评价指标体系。</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val="0"/>
          <w:bCs/>
          <w:spacing w:val="-4"/>
          <w:sz w:val="32"/>
          <w:szCs w:val="32"/>
        </w:rPr>
        <w:t>2.组织实施（2026年4月1日-5日）。项目小组收集了华侨事务项目的相关文件、财务资料、业务资料、自评报告、相关管理办法等，对项目的实施情况以及资金拨付使用情况进行了调查，对收集到的相关资料进行整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3.分析评价（2026年4月6日-7日）。对收集到的相关资料进行整理、分析并进行统计，将统计分析结果与既定的绩效目标指标进行定量、定性比较，进而对绩效指标进行评分。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4.撰写绩效评价报告（2026年4月8日-10日）。根据评分结果和掌握的相关资料撰写绩效评价报告，绩效评价报告经过内部审核定稿后，在规定时间内上报绩效系统。</w:t>
      </w:r>
    </w:p>
    <w:p>
      <w:pPr>
        <w:spacing w:line="540" w:lineRule="exact"/>
        <w:ind w:firstLine="640"/>
        <w:rPr>
          <w:rStyle w:val="17"/>
          <w:rFonts w:hint="eastAsia" w:ascii="黑体" w:hAnsi="黑体" w:eastAsia="黑体" w:cs="黑体"/>
          <w:b w:val="0"/>
          <w:bCs/>
          <w:spacing w:val="-4"/>
          <w:sz w:val="32"/>
          <w:szCs w:val="32"/>
        </w:rPr>
      </w:pPr>
      <w:r>
        <w:rPr>
          <w:rStyle w:val="17"/>
          <w:rFonts w:hint="eastAsia" w:ascii="黑体" w:hAnsi="黑体" w:eastAsia="黑体" w:cs="黑体"/>
          <w:b w:val="0"/>
          <w:bCs/>
          <w:spacing w:val="-4"/>
          <w:sz w:val="32"/>
          <w:szCs w:val="32"/>
        </w:rPr>
        <w:t>三、综合评价情况及评价结论</w:t>
      </w:r>
    </w:p>
    <w:p>
      <w:pPr>
        <w:spacing w:line="540" w:lineRule="exact"/>
        <w:ind w:firstLine="567"/>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终评价得分为97分，绩效评级为“优”。具体评价指标权重及评分结果如下：项目决策权重20分，得分20分，得分率100%；项目管理权重20分，得分19分，得分率95%；项目产出权重45分，得分43分，得分率95.6%；项目效益权重15分，得分15分，得分率100%。</w:t>
      </w:r>
    </w:p>
    <w:p>
      <w:pPr>
        <w:spacing w:line="540" w:lineRule="exact"/>
        <w:ind w:firstLine="640"/>
        <w:rPr>
          <w:rStyle w:val="17"/>
          <w:rFonts w:hint="eastAsia" w:ascii="黑体" w:hAnsi="黑体" w:eastAsia="黑体" w:cs="黑体"/>
          <w:b w:val="0"/>
          <w:bCs/>
          <w:sz w:val="32"/>
          <w:szCs w:val="32"/>
        </w:rPr>
      </w:pPr>
      <w:r>
        <w:rPr>
          <w:rStyle w:val="17"/>
          <w:rFonts w:hint="eastAsia" w:ascii="黑体" w:hAnsi="黑体" w:eastAsia="黑体" w:cs="黑体"/>
          <w:b w:val="0"/>
          <w:bCs/>
          <w:spacing w:val="-4"/>
          <w:sz w:val="32"/>
          <w:szCs w:val="32"/>
        </w:rPr>
        <w:t xml:space="preserve">四、绩效评价指标分析 </w:t>
      </w:r>
    </w:p>
    <w:p>
      <w:pPr>
        <w:spacing w:line="540" w:lineRule="exact"/>
        <w:ind w:firstLine="567" w:firstLineChars="181"/>
        <w:rPr>
          <w:rFonts w:hint="eastAsia" w:ascii="楷体_GB2312" w:hAnsi="楷体_GB2312" w:eastAsia="楷体_GB2312" w:cs="楷体_GB2312"/>
          <w:b/>
          <w:bCs w:val="0"/>
          <w:spacing w:val="-4"/>
          <w:sz w:val="32"/>
          <w:szCs w:val="32"/>
        </w:rPr>
      </w:pPr>
      <w:r>
        <w:rPr>
          <w:rFonts w:hint="eastAsia" w:ascii="楷体_GB2312" w:hAnsi="楷体_GB2312" w:eastAsia="楷体_GB2312" w:cs="楷体_GB2312"/>
          <w:b/>
          <w:bCs w:val="0"/>
          <w:spacing w:val="-4"/>
          <w:sz w:val="32"/>
          <w:szCs w:val="32"/>
        </w:rPr>
        <w:t>（一）项目决策情况</w:t>
      </w:r>
    </w:p>
    <w:p>
      <w:pPr>
        <w:spacing w:line="540" w:lineRule="exact"/>
        <w:ind w:left="638" w:leftChars="304" w:firstLine="219" w:firstLineChars="70"/>
        <w:rPr>
          <w:rStyle w:val="17"/>
          <w:rFonts w:hint="eastAsia" w:ascii="仿宋_GB2312" w:hAnsi="仿宋_GB2312" w:eastAsia="仿宋_GB2312" w:cs="仿宋_GB2312"/>
          <w:b/>
          <w:bCs w:val="0"/>
          <w:spacing w:val="-4"/>
          <w:sz w:val="32"/>
          <w:szCs w:val="32"/>
        </w:rPr>
      </w:pPr>
      <w:r>
        <w:rPr>
          <w:rStyle w:val="17"/>
          <w:rFonts w:hint="eastAsia" w:ascii="仿宋_GB2312" w:hAnsi="仿宋_GB2312" w:eastAsia="仿宋_GB2312" w:cs="仿宋_GB2312"/>
          <w:b/>
          <w:bCs w:val="0"/>
          <w:spacing w:val="-4"/>
          <w:sz w:val="32"/>
          <w:szCs w:val="32"/>
        </w:rPr>
        <w:t>1.项目立项</w:t>
      </w:r>
    </w:p>
    <w:p>
      <w:pPr>
        <w:spacing w:line="540" w:lineRule="exact"/>
        <w:ind w:firstLine="624" w:firstLineChars="200"/>
        <w:rPr>
          <w:rStyle w:val="17"/>
          <w:rFonts w:hint="eastAsia" w:ascii="仿宋_GB2312" w:hAnsi="仿宋_GB2312" w:eastAsia="仿宋_GB2312" w:cs="仿宋_GB2312"/>
          <w:b/>
          <w:bCs w:val="0"/>
          <w:spacing w:val="-4"/>
          <w:sz w:val="32"/>
          <w:szCs w:val="32"/>
        </w:rPr>
      </w:pPr>
      <w:r>
        <w:rPr>
          <w:rStyle w:val="17"/>
          <w:rFonts w:hint="eastAsia" w:ascii="仿宋_GB2312" w:hAnsi="仿宋_GB2312" w:eastAsia="仿宋_GB2312" w:cs="仿宋_GB2312"/>
          <w:b w:val="0"/>
          <w:bCs/>
          <w:spacing w:val="-4"/>
          <w:sz w:val="32"/>
          <w:szCs w:val="32"/>
        </w:rPr>
        <w:t>（1）立项依据充分性。依据中国侨联《章程》以及政府办公厅新政办发[2002]27号文“关于新疆维吾尔自治区归国华侨联合会机关主要职责、内设机构和人员编制方案的通知”等文件精神，项目立项符合法律法规、相关政策、发展规划以及部门职责。该指标分值3分，根据评分标准得3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2）立项程序规范性。华侨事务项目属于自治区侨联常规性项目，该项目属于项目库中的项目。对开展的项目能够编制项目预期绩效报告，进行事前绩效评估，实施该项目通过相关会议研究决定，并进行集体决策。该指标分值3分，根据评分标准得3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仿宋_GB2312" w:hAnsi="仿宋_GB2312" w:eastAsia="仿宋_GB2312" w:cs="仿宋_GB2312"/>
          <w:b/>
          <w:bCs w:val="0"/>
          <w:spacing w:val="-4"/>
          <w:sz w:val="32"/>
          <w:szCs w:val="32"/>
        </w:rPr>
        <w:t>2.绩效目标</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1）绩效目标合理性。项目设定的绩效目标符合自治区侨联业务开展需要和职能职责，绩效目标设定依据充分，基本符合客观实际情况，设定的绩效目标能够与其工作内容相关，设定的绩效目标能够与项目资金量相匹配。该指标分值5分，根据评分标准得5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（2）绩效指标明确性。本项目能够结合实际需求，将绩效目标细化分解为具体的绩效指标，设定具体指标19个，其中产出指标11个，成本指标6个， 效益指标1个，满意度指标1个。设定的具体指标值，包含定量指标18个，定性指标1个。设定的绩效指标清晰、细化，且能够与项目目标计划数相对应。该指标分值3分，根据评分标准得3分。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bCs w:val="0"/>
          <w:spacing w:val="-4"/>
          <w:sz w:val="32"/>
          <w:szCs w:val="32"/>
          <w:lang w:val="en-US" w:eastAsia="zh-CN"/>
        </w:rPr>
        <w:t xml:space="preserve"> </w:t>
      </w:r>
      <w:r>
        <w:rPr>
          <w:rStyle w:val="17"/>
          <w:rFonts w:hint="eastAsia" w:ascii="仿宋_GB2312" w:hAnsi="仿宋_GB2312" w:eastAsia="仿宋_GB2312" w:cs="仿宋_GB2312"/>
          <w:b/>
          <w:bCs w:val="0"/>
          <w:spacing w:val="-4"/>
          <w:sz w:val="32"/>
          <w:szCs w:val="32"/>
        </w:rPr>
        <w:t>3.资金投入</w:t>
      </w:r>
    </w:p>
    <w:p>
      <w:pPr>
        <w:spacing w:line="54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1）预算编制科学性。在编制华侨事务项目预算时，单位各相关处室根据各自实施的项目内容，按项目内容进行预算编制，明确预算编制的依据；各相关处室预算编制完成后，进行审核、汇总，由此得出项目整体预算。自治区侨联党组会议对审核汇总后的预算进行审议通过。该指标分值3分，根据评分标准得3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2）资金分配合理性。本项目根据各相关处室承担的工作任务，将预算资金按照处室进行分配，其中文化交流经费85万，基层侨联组织建设经费73万，办公室（权益保障部）47万，华侨华人研究所20万，各活动预算资金分配额度合理。该指标分值3分，根据评分标准得3分。</w:t>
      </w:r>
    </w:p>
    <w:p>
      <w:pPr>
        <w:spacing w:line="540" w:lineRule="exact"/>
        <w:ind w:firstLine="567" w:firstLineChars="181"/>
        <w:rPr>
          <w:rFonts w:hint="eastAsia" w:ascii="楷体_GB2312" w:hAnsi="楷体_GB2312" w:eastAsia="楷体_GB2312" w:cs="楷体_GB2312"/>
          <w:b/>
          <w:bCs w:val="0"/>
          <w:spacing w:val="-4"/>
          <w:sz w:val="32"/>
          <w:szCs w:val="32"/>
        </w:rPr>
      </w:pPr>
      <w:r>
        <w:rPr>
          <w:rFonts w:hint="eastAsia" w:ascii="楷体_GB2312" w:hAnsi="楷体_GB2312" w:eastAsia="楷体_GB2312" w:cs="楷体_GB2312"/>
          <w:b/>
          <w:bCs w:val="0"/>
          <w:spacing w:val="-4"/>
          <w:sz w:val="32"/>
          <w:szCs w:val="32"/>
        </w:rPr>
        <w:t>（二）项目过程情况</w:t>
      </w:r>
    </w:p>
    <w:p>
      <w:pPr>
        <w:spacing w:line="540" w:lineRule="exact"/>
        <w:ind w:left="638" w:leftChars="304" w:firstLine="219" w:firstLineChars="70"/>
        <w:rPr>
          <w:rStyle w:val="17"/>
          <w:rFonts w:hint="eastAsia" w:ascii="仿宋_GB2312" w:hAnsi="仿宋_GB2312" w:eastAsia="仿宋_GB2312" w:cs="仿宋_GB2312"/>
          <w:b/>
          <w:bCs w:val="0"/>
          <w:spacing w:val="-4"/>
          <w:sz w:val="32"/>
          <w:szCs w:val="32"/>
        </w:rPr>
      </w:pPr>
      <w:r>
        <w:rPr>
          <w:rStyle w:val="17"/>
          <w:rFonts w:hint="eastAsia" w:ascii="仿宋_GB2312" w:hAnsi="仿宋_GB2312" w:eastAsia="仿宋_GB2312" w:cs="仿宋_GB2312"/>
          <w:b/>
          <w:bCs w:val="0"/>
          <w:spacing w:val="-4"/>
          <w:sz w:val="32"/>
          <w:szCs w:val="32"/>
        </w:rPr>
        <w:t>1.资金管理</w:t>
      </w:r>
    </w:p>
    <w:p>
      <w:pPr>
        <w:spacing w:line="54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（1）资金到位率。华侨事务项目年初计划数225万元，财政资金按时拨付，保障各项目资金按计划支出，资金到位率100%。该指标分值5分，根据评分标准得5分。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（2）预算执行率。截至2025年12月31日，华侨事务项目支出223.6万元，预算执行率为99.4%。该指标分值5分，根据评分标准得4分。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val="0"/>
          <w:bCs/>
          <w:spacing w:val="-4"/>
          <w:sz w:val="32"/>
          <w:szCs w:val="32"/>
        </w:rPr>
        <w:t>（3）资金使用合规性。本项目资金的拨付、使用、支出有完整的审批程序和手续，不存在截留、挤占、挪用项目资金及虚列支出等情况。该指标分值5分，根据评分标准得5分。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仿宋_GB2312" w:hAnsi="仿宋_GB2312" w:eastAsia="仿宋_GB2312" w:cs="仿宋_GB2312"/>
          <w:b/>
          <w:bCs w:val="0"/>
          <w:spacing w:val="-4"/>
          <w:sz w:val="32"/>
          <w:szCs w:val="32"/>
        </w:rPr>
        <w:t>2.组织实施指标</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制度执行有效性。项目实施和执行，严格遵照工作规划的要求实施，按照工作计划进行预算执行，达到财政监控进度且项目资金执行率较高。该指标分值5分，根据评分标准得5分。</w:t>
      </w:r>
    </w:p>
    <w:p>
      <w:pPr>
        <w:spacing w:line="540" w:lineRule="exact"/>
        <w:ind w:firstLine="567" w:firstLineChars="181"/>
        <w:rPr>
          <w:rFonts w:hint="eastAsia" w:ascii="楷体_GB2312" w:hAnsi="楷体_GB2312" w:eastAsia="楷体_GB2312" w:cs="楷体_GB2312"/>
          <w:b/>
          <w:bCs w:val="0"/>
          <w:spacing w:val="-4"/>
          <w:sz w:val="32"/>
          <w:szCs w:val="32"/>
        </w:rPr>
      </w:pPr>
      <w:r>
        <w:rPr>
          <w:rFonts w:hint="eastAsia" w:ascii="楷体_GB2312" w:hAnsi="楷体_GB2312" w:eastAsia="楷体_GB2312" w:cs="楷体_GB2312"/>
          <w:b/>
          <w:bCs w:val="0"/>
          <w:spacing w:val="-4"/>
          <w:sz w:val="32"/>
          <w:szCs w:val="32"/>
        </w:rPr>
        <w:t>（三）项目产出情况</w:t>
      </w:r>
    </w:p>
    <w:p>
      <w:pPr>
        <w:spacing w:line="540" w:lineRule="exact"/>
        <w:ind w:firstLine="567"/>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bCs w:val="0"/>
          <w:spacing w:val="-4"/>
          <w:sz w:val="32"/>
          <w:szCs w:val="32"/>
        </w:rPr>
        <w:t>1.数量指标</w:t>
      </w:r>
      <w:r>
        <w:rPr>
          <w:rStyle w:val="17"/>
          <w:rFonts w:hint="eastAsia" w:ascii="仿宋_GB2312" w:hAnsi="仿宋_GB2312" w:eastAsia="仿宋_GB2312" w:cs="仿宋_GB2312"/>
          <w:b w:val="0"/>
          <w:bCs/>
          <w:spacing w:val="-4"/>
          <w:sz w:val="32"/>
          <w:szCs w:val="32"/>
        </w:rPr>
        <w:cr/>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val="0"/>
          <w:bCs/>
          <w:spacing w:val="-4"/>
          <w:sz w:val="32"/>
          <w:szCs w:val="32"/>
        </w:rPr>
        <w:t>（1）侨联干部培训班人数。指标值&gt;=49人,实际完成值49人，完成率100%。2025年7月8日至15日，联合中国侨联干部培训中心举办一期侨联干部业务培训班1期，人数49人。培训主要以基层侨联干部培训为抓手，提升我区基层侨联专兼挂干部、涉侨社团组织骨干、“侨胞之家”负责人、侨界志愿者等基层侨联工作者能力水平。该指标分值5分，根据评分标准得5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2）侨联干部业务培训班期数。指标值&gt;=1期，实际完成值1期，完成率100%。2025年7月8日至15日，联合中国侨联干部培训中心举办一期侨联干部业务培训班1期，人数49人。培训主要以基层侨联干部培训为抓手，提升我区基层侨联专兼挂干部、涉侨社团组织骨干、“侨胞之家”负责人、侨界志愿者等基层侨联工作者能力水平。该指标分值5分，根据评分标准得5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3）侨爱心系列活动开展次数。指标值&gt;=5次，实际完成值5次，完成率100%。基层建设部全年开展“侨界医疗队下基层”活动3次、在春节、国庆等重点节日期间开展“送温暖、献爱心”侨界群众慰问活动两次。该指标分值5分，根据评分标准得5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4）基层侨胞之家建设数量。指标值&gt;=5个，实际完成值2个，完成率100%。为进一步强化“侨胞之家”服务阵地功能，将“侨胞之家”打造成归侨侨眷和海外侨胞及留学人员可信赖的温暖之家、团结之家、奋斗之家，成为侨界群众的情感地标和精神家园，在全区选建2个“侨胞之家”，提升现有“侨胞之家”质效，在有条件的大学、科研院所、产业园和侨企等新建“侨胞之家”，支持开展活动。该指标分值5分，根据评分标准得3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val="0"/>
          <w:bCs/>
          <w:spacing w:val="-4"/>
          <w:sz w:val="32"/>
          <w:szCs w:val="32"/>
        </w:rPr>
        <w:t>（5）侨界宣传系列活动次数。指标值&gt;=3次，实际完成值3次，完成率100%。全年开展“亲情中华·为你讲故事”海外华裔青少年网上夏（冬）令营活动、“追梦中华·大美新疆”海外华文媒体新疆采访行活动、2025年海外新疆籍华裔青少年“中国寻根之旅”夏令营实体营活动等侨界系列宣传活动3次，增进海外新疆籍侨胞及其子女对祖籍国认同和情感，让广大新疆籍侨胞子女在新疆亲眼目睹、感受家乡翻天覆地的变化，感受祖籍国对海外新疆籍侨胞的关心、关爱、关注，教育和引导他们回到旅居国后积极宣传祖籍国安定团结、稳定发展的大好形势，讲好中国故事、新疆故事，加强我国在海外的友我力量 。该指标分值5分，根据评分标准得5分。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仿宋_GB2312" w:hAnsi="仿宋_GB2312" w:eastAsia="仿宋_GB2312" w:cs="仿宋_GB2312"/>
          <w:b/>
          <w:bCs w:val="0"/>
          <w:spacing w:val="-4"/>
          <w:sz w:val="32"/>
          <w:szCs w:val="32"/>
        </w:rPr>
        <w:t xml:space="preserve"> 2.质量指标</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指标值：慰问归侨侨眷覆盖率&gt;=80%，实际完成值80%，完成率100%。联合各地州市侨联对我区困难归侨侨眷开展慰问活动，使广大归侨侨眷切实感受到党和政府的关心和温暖。该指标分值5分，根据评分标准得5分。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仿宋_GB2312" w:hAnsi="仿宋_GB2312" w:eastAsia="仿宋_GB2312" w:cs="仿宋_GB2312"/>
          <w:b w:val="0"/>
          <w:bCs/>
          <w:spacing w:val="-4"/>
          <w:sz w:val="32"/>
          <w:szCs w:val="32"/>
          <w:lang w:val="en-US" w:eastAsia="zh-CN"/>
        </w:rPr>
        <w:t xml:space="preserve"> </w:t>
      </w:r>
      <w:r>
        <w:rPr>
          <w:rStyle w:val="17"/>
          <w:rFonts w:hint="eastAsia" w:ascii="仿宋_GB2312" w:hAnsi="仿宋_GB2312" w:eastAsia="仿宋_GB2312" w:cs="仿宋_GB2312"/>
          <w:b/>
          <w:bCs w:val="0"/>
          <w:spacing w:val="-4"/>
          <w:sz w:val="32"/>
          <w:szCs w:val="32"/>
        </w:rPr>
        <w:t>3.时效指标</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指标值：培训班次(活动)按期完成率&gt;=90%，实际完成值95%，完成率100%。培训按年初计划开展，活动效果良好。该指标分值5分，根据评分标准得5分。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仿宋_GB2312" w:hAnsi="仿宋_GB2312" w:eastAsia="仿宋_GB2312" w:cs="仿宋_GB2312"/>
          <w:b/>
          <w:bCs w:val="0"/>
          <w:spacing w:val="-4"/>
          <w:sz w:val="32"/>
          <w:szCs w:val="32"/>
          <w:lang w:val="en-US" w:eastAsia="zh-CN"/>
        </w:rPr>
        <w:t xml:space="preserve"> </w:t>
      </w:r>
      <w:r>
        <w:rPr>
          <w:rStyle w:val="17"/>
          <w:rFonts w:hint="eastAsia" w:ascii="仿宋_GB2312" w:hAnsi="仿宋_GB2312" w:eastAsia="仿宋_GB2312" w:cs="仿宋_GB2312"/>
          <w:b/>
          <w:bCs w:val="0"/>
          <w:spacing w:val="-4"/>
          <w:sz w:val="32"/>
          <w:szCs w:val="32"/>
        </w:rPr>
        <w:t>4.成本指标</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指标值：培训人均成本&lt;550元/人/天，实际完成值550元/人/天，完成率100%；慰问人均成本&lt;=1000元/人，实际完成值1000元/人，完成率100%。该指标分值5分，根据评分标准得5分。</w:t>
      </w:r>
    </w:p>
    <w:p>
      <w:pPr>
        <w:spacing w:line="540" w:lineRule="exact"/>
        <w:ind w:firstLine="567" w:firstLineChars="181"/>
        <w:rPr>
          <w:rFonts w:hint="eastAsia" w:ascii="楷体_GB2312" w:hAnsi="楷体_GB2312" w:eastAsia="楷体_GB2312" w:cs="楷体_GB2312"/>
          <w:b/>
          <w:bCs w:val="0"/>
          <w:spacing w:val="-4"/>
          <w:sz w:val="32"/>
          <w:szCs w:val="32"/>
        </w:rPr>
      </w:pPr>
      <w:r>
        <w:rPr>
          <w:rFonts w:hint="eastAsia" w:ascii="楷体_GB2312" w:hAnsi="楷体_GB2312" w:eastAsia="楷体_GB2312" w:cs="楷体_GB2312"/>
          <w:b/>
          <w:bCs w:val="0"/>
          <w:spacing w:val="-4"/>
          <w:sz w:val="32"/>
          <w:szCs w:val="32"/>
        </w:rPr>
        <w:t>（四）项目效益情况</w:t>
      </w:r>
    </w:p>
    <w:p>
      <w:pPr>
        <w:spacing w:line="540" w:lineRule="exact"/>
        <w:ind w:left="638" w:leftChars="304" w:firstLine="219" w:firstLineChars="70"/>
        <w:rPr>
          <w:rStyle w:val="17"/>
          <w:rFonts w:hint="eastAsia" w:ascii="仿宋_GB2312" w:hAnsi="仿宋_GB2312" w:eastAsia="仿宋_GB2312" w:cs="仿宋_GB2312"/>
          <w:b/>
          <w:bCs w:val="0"/>
          <w:spacing w:val="-4"/>
          <w:sz w:val="32"/>
          <w:szCs w:val="32"/>
        </w:rPr>
      </w:pPr>
      <w:r>
        <w:rPr>
          <w:rStyle w:val="17"/>
          <w:rFonts w:hint="eastAsia" w:ascii="仿宋_GB2312" w:hAnsi="仿宋_GB2312" w:eastAsia="仿宋_GB2312" w:cs="仿宋_GB2312"/>
          <w:b/>
          <w:bCs w:val="0"/>
          <w:spacing w:val="-4"/>
          <w:sz w:val="32"/>
          <w:szCs w:val="32"/>
        </w:rPr>
        <w:t>1.效益指标</w:t>
      </w:r>
    </w:p>
    <w:p>
      <w:pPr>
        <w:spacing w:line="54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指标值：海外侨界影响力，完成值为良好，完成率100%。开展侨界系列活动，做好经常性联谊联络工作，涵养好侨务资源，发挥新疆籍海外侨胞力量，阐述中国发展理念，讲好中国故事、讲好新疆故事，传播好中国声音，为维护新疆工作总目标营造良好的外部环境。强化基层侨联组织建设，充分发挥各级侨联组织和广大归侨侨眷的积极性、主动性、创造性，增强侨联组织的凝聚力、吸引力、影响力，做到“组织起来、活跃起来、行动起来、贡献起来”。该指标分值15分，根据评分标准得15分。</w:t>
      </w:r>
    </w:p>
    <w:p>
      <w:pPr>
        <w:spacing w:line="540" w:lineRule="exact"/>
        <w:ind w:firstLine="640"/>
        <w:rPr>
          <w:rStyle w:val="17"/>
          <w:rFonts w:hint="eastAsia" w:ascii="黑体" w:hAnsi="黑体" w:eastAsia="黑体" w:cs="黑体"/>
          <w:b w:val="0"/>
          <w:bCs/>
          <w:spacing w:val="-4"/>
          <w:sz w:val="32"/>
          <w:szCs w:val="32"/>
        </w:rPr>
      </w:pPr>
      <w:r>
        <w:rPr>
          <w:rStyle w:val="17"/>
          <w:rFonts w:hint="eastAsia" w:ascii="黑体" w:hAnsi="黑体" w:eastAsia="黑体" w:cs="黑体"/>
          <w:b w:val="0"/>
          <w:bCs/>
          <w:spacing w:val="-4"/>
          <w:sz w:val="32"/>
          <w:szCs w:val="32"/>
          <w:lang w:eastAsia="zh-CN"/>
        </w:rPr>
        <w:t>五</w:t>
      </w:r>
      <w:r>
        <w:rPr>
          <w:rStyle w:val="17"/>
          <w:rFonts w:hint="eastAsia" w:ascii="黑体" w:hAnsi="黑体" w:eastAsia="黑体" w:cs="黑体"/>
          <w:b w:val="0"/>
          <w:bCs/>
          <w:spacing w:val="-4"/>
          <w:sz w:val="32"/>
          <w:szCs w:val="32"/>
        </w:rPr>
        <w:t>、主要经验及做法、存在的问题及原因分析</w:t>
      </w:r>
    </w:p>
    <w:p>
      <w:pPr>
        <w:spacing w:line="540" w:lineRule="exact"/>
        <w:ind w:left="638" w:leftChars="304" w:firstLine="0" w:firstLineChars="0"/>
        <w:rPr>
          <w:rStyle w:val="17"/>
          <w:rFonts w:hint="eastAsia" w:ascii="楷体_GB2312" w:hAnsi="楷体_GB2312" w:eastAsia="楷体_GB2312" w:cs="楷体_GB2312"/>
          <w:b/>
          <w:bCs w:val="0"/>
          <w:spacing w:val="-4"/>
          <w:sz w:val="32"/>
          <w:szCs w:val="32"/>
        </w:rPr>
      </w:pPr>
      <w:r>
        <w:rPr>
          <w:rStyle w:val="17"/>
          <w:rFonts w:hint="eastAsia" w:ascii="楷体_GB2312" w:hAnsi="楷体_GB2312" w:eastAsia="楷体_GB2312" w:cs="楷体_GB2312"/>
          <w:b/>
          <w:bCs w:val="0"/>
          <w:spacing w:val="-4"/>
          <w:sz w:val="32"/>
          <w:szCs w:val="32"/>
        </w:rPr>
        <w:t>（一）主要经验与做法</w:t>
      </w:r>
    </w:p>
    <w:p>
      <w:pPr>
        <w:spacing w:line="54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自治区侨联已全面实行项目预算绩效管理，将绩效理念和方法深度融入预算编制、执行、监督全过程，积极构建事前事中事后绩效管理闭环系统。一是结合工作实际，在年初对项目经费做出支出进度要求，对各部室资金执行及支出规范作出明确要求。二是坚持绩效全过程管理，建立项目资金支出台账，并于每月党组会进行资金支出进度通报，在5月、8月对项目进行绩效监控考核，对未达标项目进行及时调整。 三是对年底项目执行情况进行绩效评价，总结项目主要产出及效益情况，作为次年预算编制重要依据，提高资金使用效率。</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楷体_GB2312" w:hAnsi="楷体_GB2312" w:eastAsia="楷体_GB2312" w:cs="楷体_GB2312"/>
          <w:b/>
          <w:bCs w:val="0"/>
          <w:spacing w:val="-4"/>
          <w:sz w:val="32"/>
          <w:szCs w:val="32"/>
        </w:rPr>
        <w:t xml:space="preserve"> （二）存在问题、原因分析</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部分项目由于季节原因，集中在下半年开展，资金支出进度受到影响，拉低绩效评价得分。</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w:t>
      </w:r>
      <w:r>
        <w:rPr>
          <w:rStyle w:val="17"/>
          <w:rFonts w:hint="eastAsia" w:ascii="楷体_GB2312" w:hAnsi="楷体_GB2312" w:eastAsia="楷体_GB2312" w:cs="楷体_GB2312"/>
          <w:b/>
          <w:bCs w:val="0"/>
          <w:spacing w:val="-4"/>
          <w:sz w:val="32"/>
          <w:szCs w:val="32"/>
        </w:rPr>
        <w:t>（三）改进措施</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一是继续完善绩效评价体系，加强监督检查和考核工作。进一步探索完善项目绩效评价指标体系，增强绩效评价结果的可比性、可信度。加强对绩效管理工作的跟踪督查，做到绩效管理有依据、科学规范，规范绩效管理工作。</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二是进一步提高项目立项的科学化水平。科学合理设定项目绩效目标，使绩效目标能够更好地反映专项资金的投入产出和效益。建立以绩效为导向的预算编制模式。提高项目立项的科学性、时效性，并将其贯彻到预算申请、预算分配、项目实施和绩效考评的全过程。把绩效考评的结果作为编制部门预算的重要依据，将绩效评价从事后评价向预算编制、审查批准、执行过程等前置环节延伸。</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三是加强项目过程管理，按照绩效管理的要求，强化过程管理，通过综合分析，查找目前存在问题节点，采取得力措施，降低行政运行成本，提高资金使用绩效，推动依法理财、科学理财、民主理财。</w:t>
      </w:r>
      <w:r>
        <w:rPr>
          <w:rStyle w:val="17"/>
          <w:rFonts w:hint="eastAsia" w:ascii="仿宋_GB2312" w:hAnsi="仿宋_GB2312" w:eastAsia="仿宋_GB2312" w:cs="仿宋_GB2312"/>
          <w:b w:val="0"/>
          <w:bCs/>
          <w:spacing w:val="-4"/>
          <w:sz w:val="32"/>
          <w:szCs w:val="32"/>
        </w:rPr>
        <w:br w:type="textWrapping"/>
      </w:r>
      <w:r>
        <w:rPr>
          <w:rStyle w:val="17"/>
          <w:rFonts w:hint="eastAsia" w:ascii="仿宋_GB2312" w:hAnsi="仿宋_GB2312" w:eastAsia="仿宋_GB2312" w:cs="仿宋_GB2312"/>
          <w:b w:val="0"/>
          <w:bCs/>
          <w:spacing w:val="-4"/>
          <w:sz w:val="32"/>
          <w:szCs w:val="32"/>
        </w:rPr>
        <w:t xml:space="preserve">    四是提高绩效综合分析能力。厘定提高资金使用绩效的关节点，项目评价中反映出的不足，认证整改落实，提高资金使用绩效。在比较中强化综合分析，挖掘数据价值提高管理效能。加强绩效管理培训，进一步提高绩效综合分析水平。</w:t>
      </w:r>
    </w:p>
    <w:p>
      <w:pPr>
        <w:ind w:firstLine="624" w:firstLineChars="200"/>
        <w:rPr>
          <w:rStyle w:val="17"/>
          <w:rFonts w:hint="eastAsia" w:ascii="黑体" w:hAnsi="黑体" w:eastAsia="黑体" w:cs="黑体"/>
          <w:b w:val="0"/>
          <w:bCs/>
          <w:spacing w:val="-4"/>
          <w:sz w:val="32"/>
          <w:szCs w:val="32"/>
        </w:rPr>
      </w:pPr>
      <w:r>
        <w:rPr>
          <w:rStyle w:val="17"/>
          <w:rFonts w:hint="eastAsia" w:ascii="黑体" w:hAnsi="黑体" w:eastAsia="黑体" w:cs="黑体"/>
          <w:b w:val="0"/>
          <w:bCs/>
          <w:spacing w:val="-4"/>
          <w:sz w:val="32"/>
          <w:szCs w:val="32"/>
          <w:lang w:eastAsia="zh-CN"/>
        </w:rPr>
        <w:t>六</w:t>
      </w:r>
      <w:r>
        <w:rPr>
          <w:rStyle w:val="17"/>
          <w:rFonts w:hint="eastAsia" w:ascii="黑体" w:hAnsi="黑体" w:eastAsia="黑体" w:cs="黑体"/>
          <w:b w:val="0"/>
          <w:bCs/>
          <w:spacing w:val="-4"/>
          <w:sz w:val="32"/>
          <w:szCs w:val="32"/>
        </w:rPr>
        <w:t>、有关建议</w:t>
      </w:r>
    </w:p>
    <w:p>
      <w:pPr>
        <w:spacing w:line="54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无。</w:t>
      </w:r>
    </w:p>
    <w:p>
      <w:pPr>
        <w:spacing w:line="540" w:lineRule="exact"/>
        <w:ind w:firstLine="567"/>
        <w:rPr>
          <w:rStyle w:val="17"/>
          <w:rFonts w:hint="eastAsia" w:ascii="黑体" w:hAnsi="黑体" w:eastAsia="黑体" w:cs="黑体"/>
          <w:b w:val="0"/>
          <w:bCs/>
          <w:spacing w:val="-4"/>
          <w:sz w:val="32"/>
          <w:szCs w:val="32"/>
        </w:rPr>
      </w:pPr>
      <w:r>
        <w:rPr>
          <w:rStyle w:val="17"/>
          <w:rFonts w:hint="eastAsia" w:ascii="黑体" w:hAnsi="黑体" w:eastAsia="黑体" w:cs="黑体"/>
          <w:b w:val="0"/>
          <w:bCs/>
          <w:spacing w:val="-4"/>
          <w:sz w:val="32"/>
          <w:szCs w:val="32"/>
          <w:lang w:eastAsia="zh-CN"/>
        </w:rPr>
        <w:t>七</w:t>
      </w:r>
      <w:r>
        <w:rPr>
          <w:rStyle w:val="17"/>
          <w:rFonts w:hint="eastAsia" w:ascii="黑体" w:hAnsi="黑体" w:eastAsia="黑体" w:cs="黑体"/>
          <w:b w:val="0"/>
          <w:bCs/>
          <w:spacing w:val="-4"/>
          <w:sz w:val="32"/>
          <w:szCs w:val="32"/>
        </w:rPr>
        <w:t>、其他需要说明的问题</w:t>
      </w:r>
    </w:p>
    <w:p>
      <w:pPr>
        <w:spacing w:line="540" w:lineRule="exact"/>
        <w:ind w:firstLine="624" w:firstLineChars="200"/>
        <w:rPr>
          <w:rStyle w:val="17"/>
          <w:rFonts w:hint="eastAsia" w:ascii="仿宋_GB2312" w:hAnsi="仿宋_GB2312" w:eastAsia="仿宋_GB2312" w:cs="仿宋_GB2312"/>
          <w:b w:val="0"/>
          <w:bCs/>
          <w:spacing w:val="-4"/>
          <w:sz w:val="32"/>
          <w:szCs w:val="32"/>
        </w:rPr>
      </w:pPr>
      <w:r>
        <w:rPr>
          <w:rStyle w:val="17"/>
          <w:rFonts w:hint="eastAsia" w:ascii="仿宋_GB2312" w:hAnsi="仿宋_GB2312" w:eastAsia="仿宋_GB2312" w:cs="仿宋_GB2312"/>
          <w:b w:val="0"/>
          <w:bCs/>
          <w:spacing w:val="-4"/>
          <w:sz w:val="32"/>
          <w:szCs w:val="32"/>
        </w:rPr>
        <w:t>无。</w:t>
      </w: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ind w:firstLine="567"/>
        <w:rPr>
          <w:rStyle w:val="17"/>
          <w:rFonts w:hint="eastAsia" w:ascii="仿宋_GB2312" w:hAnsi="仿宋_GB2312" w:eastAsia="仿宋_GB2312" w:cs="仿宋_GB2312"/>
          <w:b w:val="0"/>
          <w:bCs/>
          <w:spacing w:val="-4"/>
          <w:sz w:val="32"/>
          <w:szCs w:val="32"/>
        </w:rPr>
      </w:pPr>
    </w:p>
    <w:p>
      <w:pPr>
        <w:spacing w:line="540" w:lineRule="exact"/>
        <w:rPr>
          <w:rStyle w:val="17"/>
          <w:rFonts w:hint="eastAsia" w:ascii="仿宋_GB2312" w:hAnsi="仿宋_GB2312" w:eastAsia="仿宋_GB2312" w:cs="仿宋_GB2312"/>
          <w:b w:val="0"/>
          <w:bCs/>
          <w:spacing w:val="-4"/>
          <w:sz w:val="32"/>
          <w:szCs w:val="32"/>
        </w:rPr>
      </w:pPr>
      <w:bookmarkStart w:id="0" w:name="_GoBack"/>
      <w:bookmarkEnd w:id="0"/>
    </w:p>
    <w:p>
      <w:pPr>
        <w:spacing w:line="540" w:lineRule="exact"/>
        <w:ind w:firstLine="624" w:firstLineChars="200"/>
      </w:pPr>
      <w:r>
        <w:rPr>
          <w:rStyle w:val="17"/>
          <w:rFonts w:hint="eastAsia" w:ascii="仿宋_GB2312" w:hAnsi="仿宋_GB2312" w:eastAsia="仿宋_GB2312" w:cs="仿宋_GB2312"/>
          <w:b w:val="0"/>
          <w:bCs/>
          <w:spacing w:val="-4"/>
          <w:sz w:val="32"/>
          <w:szCs w:val="32"/>
          <w:lang w:eastAsia="zh-CN"/>
        </w:rPr>
        <w:t>附件一：</w:t>
      </w:r>
    </w:p>
    <w:p>
      <w:pPr>
        <w:spacing w:line="540" w:lineRule="exact"/>
        <w:ind w:firstLine="567"/>
        <w:rPr>
          <w:rStyle w:val="17"/>
          <w:rFonts w:hint="eastAsia" w:ascii="仿宋_GB2312" w:hAnsi="仿宋_GB2312" w:eastAsia="仿宋_GB2312" w:cs="仿宋_GB2312"/>
          <w:b w:val="0"/>
          <w:bCs/>
          <w:spacing w:val="-4"/>
          <w:sz w:val="32"/>
          <w:szCs w:val="32"/>
        </w:rPr>
      </w:pPr>
      <w:r>
        <w:drawing>
          <wp:anchor distT="0" distB="0" distL="114300" distR="114300" simplePos="0" relativeHeight="251658240" behindDoc="0" locked="0" layoutInCell="1" allowOverlap="1">
            <wp:simplePos x="0" y="0"/>
            <wp:positionH relativeFrom="column">
              <wp:posOffset>-137795</wp:posOffset>
            </wp:positionH>
            <wp:positionV relativeFrom="page">
              <wp:posOffset>1805305</wp:posOffset>
            </wp:positionV>
            <wp:extent cx="5904865" cy="7143115"/>
            <wp:effectExtent l="0" t="0" r="635" b="63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904865" cy="7143115"/>
                    </a:xfrm>
                    <a:prstGeom prst="rect">
                      <a:avLst/>
                    </a:prstGeom>
                    <a:noFill/>
                    <a:ln w="9525">
                      <a:noFill/>
                    </a:ln>
                  </pic:spPr>
                </pic:pic>
              </a:graphicData>
            </a:graphic>
          </wp:anchor>
        </w:drawing>
      </w:r>
    </w:p>
    <w:sectPr>
      <w:footerReference r:id="rId3" w:type="default"/>
      <w:pgSz w:w="11906" w:h="16838"/>
      <w:pgMar w:top="2098"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B89225D"/>
    <w:rsid w:val="0CB44F22"/>
    <w:rsid w:val="2CA90E2A"/>
    <w:rsid w:val="47EB0E03"/>
    <w:rsid w:val="4C3D1751"/>
    <w:rsid w:val="4D2606A1"/>
    <w:rsid w:val="59B95FD3"/>
    <w:rsid w:val="5D852A6B"/>
    <w:rsid w:val="71D00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3</TotalTime>
  <ScaleCrop>false</ScaleCrop>
  <LinksUpToDate>false</LinksUpToDate>
  <CharactersWithSpaces>760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财务室2</cp:lastModifiedBy>
  <cp:lastPrinted>2018-12-31T10:56:00Z</cp:lastPrinted>
  <dcterms:modified xsi:type="dcterms:W3CDTF">2026-08-21T06:27:31Z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y fmtid="{D5CDD505-2E9C-101B-9397-08002B2CF9AE}" pid="3" name="ICV">
    <vt:lpwstr>160D1BA1944349B08C48068401F6E698</vt:lpwstr>
  </property>
</Properties>
</file>