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0" w:beforeLines="0" w:beforeAutospacing="0" w:after="0" w:afterLines="0" w:afterAutospacing="0" w:line="240" w:lineRule="auto"/>
        <w:jc w:val="left"/>
        <w:rPr>
          <w:rFonts w:ascii="宋体" w:eastAsia="宋体"/>
          <w:sz w:val="32"/>
          <w:szCs w:val="32"/>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新疆维吾尔自治区青少年发展中心</w:t>
      </w:r>
    </w:p>
    <w:p>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2025年度部门决算公开说明</w:t>
      </w:r>
    </w:p>
    <w:p>
      <w:pPr>
        <w:widowControl/>
      </w:pPr>
      <w:r>
        <w:rPr>
          <w:b w:val="0"/>
          <w:sz w:val="0"/>
          <w:szCs w:val="0"/>
        </w:rPr>
        <w:br w:type="page"/>
      </w:r>
    </w:p>
    <w:p>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 录</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第一部分单位概况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 部门决算情况说明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 专业名词解释</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 部门决算报表（见附表）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第一部分单位概况</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一、主要职能</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主要开展有益于青少年健康成长、发展进步的各项工作；开展青少年民族团结融情交流实践活动；为各族青少年提供就业创业、助学助教服务；开展文化体育、权益维护、婚恋交友等服务工作；为青少年开展网络文化服务相关工作，承担自治区团委机关信息化建设工作；协调推动青少年公益慈善事业等工作；承接自治区团委、少工委交办的工作任务。中心将与时俱进、创新思维、创新方法，为全区各族青少年健康成长、成材、提供全方位、多层次服务。</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二、机构设置</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新疆维吾尔自治区青少年发展中心无下属预算单位。</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第二部分 部门决算情况说明</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2025年度收入总计1,694.12万元，其中：本年收入合计1,641.18万元，使用非财政拨款结余（含专用结余）52.94万元，年初结转和结余0.00万元。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2025年度支出总计1,694.12万元，其中：本年支出合计1,694.12万元，结余分配0.00万元，年末结转和结余0.00万元。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收入支出总体与上年相比，增加178.23万元，增长11.76%，主要原因是：一是财政拨款增加，二是本年度经营收入有所增加。</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二、收入决算情况说明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收入1,641.18万元，其中：财政拨款收入1,368.30万元,占83.37%；上级补助收入0.00万元,占0.00%；事业收入0.00万元，占0.00%；经营收入270.35万元,占16.47%；附属单位上缴收入0.00万元，占0.00%；其他收入2.52万元，占0.15%。</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三、支出决算情况说明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本年支出1,694.12万元，其中：基本支出1,338.30万元，占79.00%；项目支出85.46万元，占5.04%；上缴上级支出0.00万元，占0.00%；经营支出270.35万元，占15.96%；对附属单位补助支出0.00万元，占0.00%。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四、财政拨款收入支出决算总体情况说明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财政拨款收入总计1,368.30万元，其中：年初财政拨款结转和结余0.00万元，本年财政拨款收入1,368.30万元。财政拨款支出总计1,368.30万元，其中：年末财政拨款结转和结余0.00万元，本年财政拨款支出1,368.30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财政拨款收入支出总体与上年相比，增加133.83万元，增长10.84%，主要原因是：正常的人员工资晋升、调资导致人员经费增加。与年初预算相比，年初预算数1,288.74万元，决算数1,368.30万元，预决算差异率6.17%，主要原因是：正常的人员工资晋升、调资导致人员经费增加。</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五、一般公共预算财政拨款支出决算情况说明</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按照党中央、国务院关于党政机关习惯过紧日子的有关要求，厉行节约办一切事业，严控一般性支出。同时坚持有保有压，优化支出结构，提高资金使用效率，合理保障</w:t>
      </w:r>
      <w:r>
        <w:rPr>
          <w:rFonts w:hint="eastAsia" w:ascii="仿宋_GB2312" w:eastAsia="仿宋_GB2312"/>
          <w:b w:val="0"/>
          <w:sz w:val="32"/>
          <w:szCs w:val="32"/>
          <w:lang w:eastAsia="zh-CN"/>
        </w:rPr>
        <w:t>开展青少年活动、人员经费、日常运转经费</w:t>
      </w:r>
      <w:r>
        <w:rPr>
          <w:rFonts w:ascii="仿宋_GB2312" w:eastAsia="仿宋_GB2312"/>
          <w:b w:val="0"/>
          <w:sz w:val="32"/>
          <w:szCs w:val="32"/>
        </w:rPr>
        <w:t>等重点支出，体现在有关支出科目中。</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按照支出功能分类，（类）（款）事业运行（项）的支出占本年财政拨款支出总额的比重最高，2025年度决算数为896.13万元，占比65.49%，主要用于人员的工资薪金支出和基本公用支出。</w:t>
      </w:r>
    </w:p>
    <w:p>
      <w:pPr>
        <w:widowControl/>
        <w:spacing w:before="0" w:beforeLines="0" w:beforeAutospacing="0" w:after="0" w:afterLines="0" w:afterAutospacing="0" w:line="240" w:lineRule="auto"/>
        <w:ind w:firstLine="640" w:firstLineChars="200"/>
        <w:jc w:val="both"/>
        <w:outlineLvl w:val="2"/>
        <w:rPr>
          <w:rFonts w:ascii="黑体" w:eastAsia="黑体"/>
          <w:sz w:val="32"/>
          <w:szCs w:val="32"/>
        </w:rPr>
      </w:pPr>
      <w:r>
        <w:rPr>
          <w:rFonts w:ascii="黑体" w:eastAsia="黑体"/>
          <w:b w:val="0"/>
          <w:sz w:val="32"/>
          <w:szCs w:val="32"/>
        </w:rPr>
        <w:t>（一）一般公共预算财政拨款支出决算总体情况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一般公共预算财政拨款支出1,368.30万元，占本年支出合计的80.77%。与上年相比，增加133.83万元，增长10.84%，主要原因是：正常的人员工资晋升、调资导致人员经费增加。与年初预算相比，年初预算数1,288.74万元，决算数1,368.30万元，预决算差异率6.17%，主要原因是：正常的人员工资晋升、调资导致人员经费增加。</w:t>
      </w:r>
    </w:p>
    <w:p>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（二）一般公共预算财政拨款支出决算结构情况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1.一般公共服务支出（类）926.13万元，占67.68%。</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2.社会保障和就业支出（类）206.80万元，占15.11%。</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3.卫生健康支出（类）133.80万元，占9.78%。</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4.住房保障支出（类）101.58万元，占7.42%。</w:t>
      </w:r>
    </w:p>
    <w:p>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（三）一般公共预算财政拨款支出决算具体情况</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1、一般公共服务支出（类）群众团体事务（款）事业运行（项）：支出决算数为896.13万元，比上年决算增加78.90万元，增长9.65%，主要原因是：正常的人员工资晋升、调资使缴费基数增加。</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2、一般公共服务支出（类）群众团体事务（款）其他群众团体事务支出（项）：支出决算数为30.00万元，与上年相比无变化，主要原因是：连续性项目无变化。</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3、社会保障和就业支出（类）行政事业单位养老支出（款）事业单位离退休（项）：支出决算数为7.41万元，比上年决算增加1.64万元，增长28.42%，主要原因是：正常的人员工资晋升、调资使缴费基数增加。</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4、社会保障和就业支出（类）行政事业单位养老支出（款）机关事业单位基本养老保险缴费支出（项）：支出决算数为135.43万元，比上年决算增加14.57万元，增长12.06%，主要原因是：正常的人员工资晋升、调资使缴费基数增加。</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5、社会保障和就业支出（类）行政事业单位养老支出（款）机关事业单位职业年金缴费支出（项）：支出决算数为63.95万元，比上年决算增加3.52万元，增长5.82%，主要原因是：正常的人员工资晋升、调资使缴费基数增加。</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6、卫生健康支出（类）行政事业单位医疗（款）事业单位医疗（项）：支出决算数为74.54万元，比上年决算增加17.89万元，增长31.58%，主要原因是：正常的人员工资晋升、调资使缴费基数增加。</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7、卫生健康支出（类）行政事业单位医疗（款）公务员医疗补助（项）：支出决算数为59.26万元，比上年决算增加6.38万元，增长12.07%，主要原因是：正常的人员工资晋升、调资使缴费基数增加。</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8、住房保障支出（类）住房改革支出（款）住房公积金（项）：支出决算数为101.58万元，比上年决算增加10.93万元，增长12.06%，主要原因是：正常的人员工资晋升、调资使缴费基数增加。</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六、一般公共预算财政拨款基本支出决算情况说明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一般公共预算财政拨款基本支出1,338.30万元，其中：人员经费1,265.48万元，包括：基本工资、津贴补贴、奖金、绩效工资、机关事业单位基本养老保险缴费、职业年金缴费、职工基本医疗保险缴费、公务员医疗补助缴费、其他社会保障缴费、住房公积金、医疗费、退休费和其他对个人和家庭的补助。</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公用经费72.82万元，包括：办公费、水费、电费、邮电费、取暖费、物业管理费、差旅费、委托业务费、工会经费、福利费、公务用车运行维护费和其他商品和服务支出。</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七、政府性基金预算财政拨款收入支出决算情况说明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本单位本年度无政府性基金预算财政拨款收入、支出及结转和结余，政府性基金预算财政拨款收入支出决算表为空表。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八、国有资本经营预算财政拨款收入支出决算情况说明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九、财政拨款“三公”经费支出决算情况说明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财政拨款“三公”经费支出2.00万元，与上年相比无变化，主要原因是：按照厉行节约要求，严格控制“三公”经费支出，较上年相比无变化。其中：因公出国（境）费用支出0.00万元,占0.00%，与上年相比无变化，主要原因是：本年度无因公出国费用支出</w:t>
      </w:r>
      <w:r>
        <w:rPr>
          <w:rFonts w:hint="eastAsia" w:ascii="仿宋_GB2312" w:eastAsia="仿宋_GB2312"/>
          <w:b w:val="0"/>
          <w:sz w:val="32"/>
          <w:szCs w:val="32"/>
          <w:lang w:eastAsia="zh-CN"/>
        </w:rPr>
        <w:t>，</w:t>
      </w:r>
      <w:r>
        <w:rPr>
          <w:rFonts w:ascii="仿宋_GB2312" w:eastAsia="仿宋_GB2312"/>
          <w:b w:val="0"/>
          <w:sz w:val="32"/>
          <w:szCs w:val="32"/>
        </w:rPr>
        <w:t>与上年相比无变化；公务用车购置及运行维护费支出2.00万元，占100.00%，与上年相比无变化，主要原因是：按照厉行节约要求，严格控制公务用车购置及运行维护费支出，与上年保持一致；公务接待费支出0.00万元，占0.00%，与上年相比无变化，主要原因是：</w:t>
      </w:r>
      <w:r>
        <w:rPr>
          <w:rFonts w:ascii="仿宋_GB2312" w:eastAsia="仿宋_GB2312"/>
          <w:sz w:val="32"/>
          <w:szCs w:val="32"/>
        </w:rPr>
        <w:t>本年度</w:t>
      </w:r>
      <w:r>
        <w:rPr>
          <w:rFonts w:hint="eastAsia" w:ascii="仿宋_GB2312" w:eastAsia="仿宋_GB2312"/>
          <w:sz w:val="32"/>
          <w:szCs w:val="32"/>
          <w:lang w:eastAsia="zh-CN"/>
        </w:rPr>
        <w:t>本</w:t>
      </w:r>
      <w:r>
        <w:rPr>
          <w:rFonts w:ascii="仿宋_GB2312" w:eastAsia="仿宋_GB2312"/>
          <w:sz w:val="32"/>
          <w:szCs w:val="32"/>
        </w:rPr>
        <w:t>单位未安排公务接待活动，与去年无变化</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具体情况如下：</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因公出国（境）费用0.00万元，开支内容包括本年度无因公出国费用支出</w:t>
      </w:r>
      <w:r>
        <w:rPr>
          <w:rFonts w:hint="eastAsia" w:ascii="仿宋_GB2312" w:eastAsia="仿宋_GB2312"/>
          <w:b w:val="0"/>
          <w:sz w:val="32"/>
          <w:szCs w:val="32"/>
          <w:lang w:eastAsia="zh-CN"/>
        </w:rPr>
        <w:t>，</w:t>
      </w:r>
      <w:r>
        <w:rPr>
          <w:rFonts w:ascii="仿宋_GB2312" w:eastAsia="仿宋_GB2312"/>
          <w:b w:val="0"/>
          <w:sz w:val="32"/>
          <w:szCs w:val="32"/>
        </w:rPr>
        <w:t>与上年保持一致。单位全年安排的因公出国（境）团组0个，因公出国（境）0人次。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用车购置及运行维护费2.00万元，其中：公务用车购置费0.00万元，公务用车运行维护费2.00万元。公务用车运行维护费开支内容包括车辆燃油费、车辆保险费、车辆维修费、车辆过路费。公务用车购置数0辆，公务用车保有量2辆。国有资产占用情况中固定资产车辆2辆，与公务用车保有量差异原因是：本单位本年度固定资产车辆数与公务用车保有量保持一致，无差异。</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公务接待费0.00万元，开支内容包括本单位本年度无公务接待费用支出，与上年保持一致。单位全年安排的国内公务接待0批次，0人次。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与全年预算相比，财政拨款“三公”经费支出全年预算数2.00万元，决算数2.00万元，预决算差异率0.00%，主要原因是：按照厉行节约要求，本单位严格控制“三公”经费支出，使得预决算无差异。其中：因公出国（境）费用全年预算数0.00万元，决算数0.00万元，预决算差异率0.00%，主要原因是：本单位本年度无因公出国（境）费，与年初预算保持一致，无差异；公务用车购置费全年预算数0.00万元，决算数0.00万元，预决算差异率0.00%，主要原因是：本单位本年度无公务用车购置费，与年初预算保持一致，无差异；公务用车运行维护费全年预算数2.00万元，决算数2.00万元，预决算差异率0.00%，主要原因是：按照厉行节约要求，本单位严格控制公务用车运行维护费支出，使得预决算无差异；公务接待费全年预算数0.00万元，决算数0.00万元，预决算差异率0.00%，主要原因是：</w:t>
      </w:r>
      <w:r>
        <w:rPr>
          <w:rFonts w:hint="eastAsia" w:ascii="仿宋_GB2312" w:eastAsia="仿宋_GB2312"/>
          <w:b w:val="0"/>
          <w:sz w:val="32"/>
          <w:szCs w:val="32"/>
          <w:lang w:eastAsia="zh-CN"/>
        </w:rPr>
        <w:t>本单位</w:t>
      </w:r>
      <w:r>
        <w:rPr>
          <w:rFonts w:ascii="仿宋_GB2312" w:eastAsia="仿宋_GB2312"/>
          <w:b w:val="0"/>
          <w:sz w:val="32"/>
          <w:szCs w:val="32"/>
        </w:rPr>
        <w:t>本年度无公务接待费，与年初预算保持一致，无差异。</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十、其他重要事项的情况说明</w:t>
      </w:r>
    </w:p>
    <w:p>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（一）机关运行经费及公用经费支出情况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2025年度新疆维吾尔自治区青少年发展中心（事业单位）公用经费支出72.82万元，比上年增加11.62万元，增长18.99%，主要原因是：</w:t>
      </w:r>
      <w:r>
        <w:rPr>
          <w:rFonts w:hint="eastAsia" w:ascii="仿宋_GB2312" w:eastAsia="仿宋_GB2312"/>
          <w:b w:val="0"/>
          <w:sz w:val="32"/>
          <w:szCs w:val="32"/>
          <w:lang w:eastAsia="zh-CN"/>
        </w:rPr>
        <w:t>本年度本单位暖气费支出</w:t>
      </w:r>
      <w:r>
        <w:rPr>
          <w:rFonts w:ascii="仿宋_GB2312" w:eastAsia="仿宋_GB2312"/>
          <w:b w:val="0"/>
          <w:sz w:val="32"/>
          <w:szCs w:val="32"/>
        </w:rPr>
        <w:t>有所</w:t>
      </w:r>
      <w:r>
        <w:rPr>
          <w:rFonts w:hint="eastAsia" w:ascii="仿宋_GB2312" w:eastAsia="仿宋_GB2312"/>
          <w:b w:val="0"/>
          <w:sz w:val="32"/>
          <w:szCs w:val="32"/>
          <w:lang w:eastAsia="zh-CN"/>
        </w:rPr>
        <w:t>提高</w:t>
      </w:r>
      <w:r>
        <w:rPr>
          <w:rFonts w:ascii="仿宋_GB2312" w:eastAsia="仿宋_GB2312"/>
          <w:b w:val="0"/>
          <w:sz w:val="32"/>
          <w:szCs w:val="32"/>
        </w:rPr>
        <w:t>。</w:t>
      </w:r>
      <w:bookmarkStart w:id="0" w:name="_GoBack"/>
      <w:bookmarkEnd w:id="0"/>
    </w:p>
    <w:p>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（二）政府采购情况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2025年度政府采购支出总额3.80万元，其中：政府采购货物支出1.68万元、政府采购工程支出0.00万元、政府采购服务支出2.12万元。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授予中小企业合同金额1.85万元，占政府采购支出总额的48.68%，其中：授予小微企业合同金额1.85万元，占政府采购支出总额的48.68%。</w:t>
      </w:r>
    </w:p>
    <w:p>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（三）国有资产占用情况说明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截至2025年12月31日，房屋1,607.97平方米，价值996.65万元。车辆2辆，价值46.36万元，其中：副部（省）级及以上领导用车0辆、主要负责人用车0辆、机要通信用车0辆、应急保障用车0辆、执法执勤用车0辆、特种专业技术用车0辆、离退休干部服务用车0辆、其他用车2辆，其他用车主要是：一般公务用车;单价100万元（含）以上设备（不含车辆）0台（套）。</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十一、预算绩效的情况说明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根据预算绩效管理要求，本单位2025年度预算绩效评价项目2个，全年预算数378.00万元，全年执行数378.00万元。预算绩效管理取得的成效：一是部门收支预决算总体差异在基本合理范围，相比较去年有了很明显的进步，预算编制更科学、完整、规范。二是收支结构总体合理，财政拨款仍然是收入的主要来源，自主经营能力较弱。发现的问题及原因：预算编制到执行基本能合规、科学执行，但预算收入和决算有差距，分析原因本单位自主经营能力较弱，收入存在不确定性。下一步改进措施：积极参与市场竞争，守正创新，拓宽经营渠道，实现稳定收入。严格预算管理，从编制到执行到绩效评价纳入绩效考核，进一步增强预算管理的实效性。具体附项目支出绩效自评表。</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十二、其他需说明的事项</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项目支出中宣传系统重点项目补助经费—</w:t>
      </w:r>
      <w:r>
        <w:rPr>
          <w:rFonts w:hint="eastAsia" w:ascii="仿宋_GB2312" w:eastAsia="仿宋_GB2312"/>
          <w:b w:val="0"/>
          <w:sz w:val="32"/>
          <w:szCs w:val="32"/>
          <w:lang w:eastAsia="zh-CN"/>
        </w:rPr>
        <w:t>国家通用语言文字</w:t>
      </w:r>
      <w:r>
        <w:rPr>
          <w:rFonts w:ascii="仿宋_GB2312" w:eastAsia="仿宋_GB2312"/>
          <w:b w:val="0"/>
          <w:sz w:val="32"/>
          <w:szCs w:val="32"/>
        </w:rPr>
        <w:t>大赛项目30.00万元，该项目绩效自评表在自治区党委宣传部</w:t>
      </w:r>
      <w:r>
        <w:rPr>
          <w:rFonts w:hint="eastAsia" w:ascii="仿宋_GB2312" w:eastAsia="仿宋_GB2312"/>
          <w:b w:val="0"/>
          <w:sz w:val="32"/>
          <w:szCs w:val="32"/>
          <w:lang w:eastAsia="zh-CN"/>
        </w:rPr>
        <w:t>公开，</w:t>
      </w:r>
      <w:r>
        <w:rPr>
          <w:rFonts w:ascii="仿宋_GB2312" w:eastAsia="仿宋_GB2312"/>
          <w:b w:val="0"/>
          <w:sz w:val="32"/>
          <w:szCs w:val="32"/>
        </w:rPr>
        <w:t>资金在我单位决算数据中体现。</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 专业名词解释</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指单位本年度从同级财政部门取得的财政拨款，包括一般公共预算财政拨款、政府性基金预算财政拨款和国有资本经营预算财政拨款。</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指事业单位附属独立核算单位按照有关规定上缴的收入。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指单位取得的除上述“财政拨款收入”“上级补助收入”“事业收入”“经营收入”“附属单位上缴收入”以外的各项收入。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指单位上年结转本年使用的基本支出结转、项目支出结转和结余、经营结余。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八、使用非财政拨款结余（含专用结余）：</w:t>
      </w:r>
      <w:r>
        <w:rPr>
          <w:rFonts w:ascii="仿宋_GB2312" w:eastAsia="仿宋_GB2312"/>
          <w:b w:val="0"/>
          <w:sz w:val="32"/>
          <w:szCs w:val="32"/>
        </w:rPr>
        <w:t>指单位按照预算管理要求使用非财政拨款结余弥补收支差额的金额，以及使用专用结余安排支出的金额。</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九、结余分配</w:t>
      </w:r>
      <w:r>
        <w:rPr>
          <w:rFonts w:ascii="仿宋_GB2312" w:eastAsia="仿宋_GB2312"/>
          <w:b w:val="0"/>
          <w:sz w:val="32"/>
          <w:szCs w:val="32"/>
        </w:rPr>
        <w:t>：指单位缴纳企业所得税以及从非财政拨款结余或经营结余中提取各类结余的情况。</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十、年末结转和结余</w:t>
      </w:r>
      <w:r>
        <w:rPr>
          <w:rFonts w:ascii="仿宋_GB2312" w:eastAsia="仿宋_GB2312"/>
          <w:b w:val="0"/>
          <w:sz w:val="32"/>
          <w:szCs w:val="32"/>
        </w:rPr>
        <w:t>：指单位结转下年的基本支出结转、项目支出结转和结余、经营结余。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十一、基本支出</w:t>
      </w:r>
      <w:r>
        <w:rPr>
          <w:rFonts w:ascii="仿宋_GB2312" w:eastAsia="仿宋_GB2312"/>
          <w:b w:val="0"/>
          <w:sz w:val="32"/>
          <w:szCs w:val="32"/>
        </w:rPr>
        <w:t>：指单位为保障机构正常运转、完成日常工作任务而发生的各项支出。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十二、项目支出：</w:t>
      </w:r>
      <w:r>
        <w:rPr>
          <w:rFonts w:ascii="仿宋_GB2312" w:eastAsia="仿宋_GB2312"/>
          <w:b w:val="0"/>
          <w:sz w:val="32"/>
          <w:szCs w:val="32"/>
        </w:rPr>
        <w:t>指单位为完成特定的行政工作任务或事业发展目标，在基本支出之外发生的各项支出。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十三、上缴上级支出：</w:t>
      </w:r>
      <w:r>
        <w:rPr>
          <w:rFonts w:ascii="仿宋_GB2312" w:eastAsia="仿宋_GB2312"/>
          <w:b w:val="0"/>
          <w:sz w:val="32"/>
          <w:szCs w:val="32"/>
        </w:rPr>
        <w:t>指事业单位按照财政部门和主管部门的规定上缴上级单位的支出。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十四、经营支出：</w:t>
      </w:r>
      <w:r>
        <w:rPr>
          <w:rFonts w:ascii="仿宋_GB2312" w:eastAsia="仿宋_GB2312"/>
          <w:b w:val="0"/>
          <w:sz w:val="32"/>
          <w:szCs w:val="32"/>
        </w:rPr>
        <w:t>指事业单位在专业活动及辅助活动之外开展非独立核算经营活动发生的支出。</w:t>
      </w:r>
    </w:p>
    <w:p>
      <w:pPr>
        <w:widowControl/>
        <w:spacing w:before="0" w:beforeLines="0" w:beforeAutospacing="0" w:after="0" w:afterLines="0" w:afterAutospacing="0" w:line="240" w:lineRule="auto"/>
        <w:ind w:firstLine="643" w:firstLineChars="200"/>
        <w:jc w:val="left"/>
        <w:rPr>
          <w:rFonts w:ascii="宋体" w:eastAsia="仿宋_GB2312"/>
          <w:sz w:val="32"/>
          <w:szCs w:val="32"/>
        </w:rPr>
      </w:pPr>
      <w:r>
        <w:rPr>
          <w:rFonts w:ascii="宋体" w:eastAsia="仿宋_GB2312"/>
          <w:b/>
          <w:sz w:val="32"/>
          <w:szCs w:val="32"/>
        </w:rPr>
        <w:t>十五、对附属单位补助支出：</w:t>
      </w:r>
      <w:r>
        <w:rPr>
          <w:rFonts w:ascii="宋体" w:eastAsia="仿宋_GB2312"/>
          <w:b w:val="0"/>
          <w:sz w:val="32"/>
          <w:szCs w:val="32"/>
        </w:rPr>
        <w:t>指事业单位用财政补助收入之外的收入对附属单位补助发生的支出。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十六、“三公”经费：</w:t>
      </w:r>
      <w:r>
        <w:rPr>
          <w:rFonts w:ascii="仿宋_GB2312" w:eastAsia="仿宋_GB2312"/>
          <w:b w:val="0"/>
          <w:sz w:val="32"/>
          <w:szCs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十七、机关运行经费：</w:t>
      </w:r>
      <w:r>
        <w:rPr>
          <w:rFonts w:ascii="仿宋_GB2312" w:eastAsia="仿宋_GB2312"/>
          <w:b w:val="0"/>
          <w:sz w:val="32"/>
          <w:szCs w:val="32"/>
        </w:rPr>
        <w:t>指行政单位和参照公务员法管理的事业单位财政拨款基本支出中的公用经费支出。</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 部门决算报表（见附表）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00"/>
    <w:family w:val="auto"/>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cumentProtection w:enforcement="0"/>
  <w:footnotePr>
    <w:footnote w:id="0"/>
    <w:footnote w:id="1"/>
  </w:footnotePr>
  <w:endnotePr>
    <w:endnote w:id="0"/>
    <w:endnote w:id="1"/>
  </w:endnotePr>
  <w:compat>
    <w:useFELayout/>
    <w:compatSetting w:name="compatibilityMode" w:uri="http://schemas.microsoft.com/office/word" w:val="12"/>
    <w:compatSetting w:name="overrideTableStyleFontSizeAndJustification" w:uri="http://schemas.microsoft.com/office/word" w:val="1"/>
  </w:compat>
  <w:docVars>
    <w:docVar w:name="commondata" w:val="eyJoZGlkIjoiYjI0NTE0ZjhhNmE5ZDk5OWZlNDA4NmNiNzYwZDgyNzAifQ=="/>
  </w:docVars>
  <w:rsids>
    <w:rsidRoot w:val="00000000"/>
    <w:rsid w:val="0BD762D6"/>
    <w:rsid w:val="1CCC5F31"/>
    <w:rsid w:val="217E28FF"/>
    <w:rsid w:val="2E94389C"/>
    <w:rsid w:val="3ABC7DA9"/>
    <w:rsid w:val="40AD0FBC"/>
    <w:rsid w:val="433A3D54"/>
    <w:rsid w:val="473B449E"/>
    <w:rsid w:val="4BF4363A"/>
    <w:rsid w:val="63F77E16"/>
    <w:rsid w:val="6F211CF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7"/>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18"/>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19"/>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0"/>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rPr>
  </w:style>
  <w:style w:type="paragraph" w:styleId="8">
    <w:name w:val="header"/>
    <w:basedOn w:val="1"/>
    <w:link w:val="16"/>
    <w:unhideWhenUsed/>
    <w:qFormat/>
    <w:uiPriority w:val="99"/>
    <w:pPr>
      <w:tabs>
        <w:tab w:val="center" w:pos="4680"/>
        <w:tab w:val="right" w:pos="9360"/>
      </w:tabs>
    </w:pPr>
  </w:style>
  <w:style w:type="paragraph" w:styleId="9">
    <w:name w:val="Subtitle"/>
    <w:basedOn w:val="1"/>
    <w:next w:val="1"/>
    <w:link w:val="21"/>
    <w:qFormat/>
    <w:uiPriority w:val="11"/>
    <w:pPr>
      <w:ind w:left="86"/>
    </w:pPr>
    <w:rPr>
      <w:rFonts w:asciiTheme="majorHAnsi" w:hAnsiTheme="majorHAnsi" w:eastAsiaTheme="majorEastAsia" w:cstheme="majorBidi"/>
      <w:i/>
      <w:iCs/>
      <w:color w:val="4F81BD" w:themeColor="accent1"/>
      <w:spacing w:val="15"/>
      <w:sz w:val="24"/>
      <w:szCs w:val="24"/>
    </w:rPr>
  </w:style>
  <w:style w:type="paragraph" w:styleId="10">
    <w:name w:val="Title"/>
    <w:basedOn w:val="1"/>
    <w:next w:val="1"/>
    <w:link w:val="22"/>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table" w:styleId="12">
    <w:name w:val="Table Grid"/>
    <w:basedOn w:val="11"/>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4">
    <w:name w:val="Emphasis"/>
    <w:basedOn w:val="13"/>
    <w:qFormat/>
    <w:uiPriority w:val="20"/>
    <w:rPr>
      <w:i/>
      <w:iCs/>
    </w:rPr>
  </w:style>
  <w:style w:type="character" w:styleId="15">
    <w:name w:val="Hyperlink"/>
    <w:basedOn w:val="13"/>
    <w:unhideWhenUsed/>
    <w:qFormat/>
    <w:uiPriority w:val="99"/>
    <w:rPr>
      <w:color w:val="0000FF" w:themeColor="hyperlink"/>
      <w:u w:val="single"/>
    </w:rPr>
  </w:style>
  <w:style w:type="character" w:customStyle="1" w:styleId="16">
    <w:name w:val="Header Char"/>
    <w:basedOn w:val="13"/>
    <w:link w:val="8"/>
    <w:qFormat/>
    <w:uiPriority w:val="99"/>
  </w:style>
  <w:style w:type="character" w:customStyle="1" w:styleId="17">
    <w:name w:val="Heading 1 Char"/>
    <w:basedOn w:val="13"/>
    <w:link w:val="2"/>
    <w:qFormat/>
    <w:uiPriority w:val="9"/>
    <w:rPr>
      <w:rFonts w:asciiTheme="majorHAnsi" w:hAnsiTheme="majorHAnsi" w:eastAsiaTheme="majorEastAsia" w:cstheme="majorBidi"/>
      <w:b/>
      <w:bCs/>
      <w:color w:val="366091" w:themeColor="accent1" w:themeShade="BF"/>
      <w:sz w:val="28"/>
      <w:szCs w:val="28"/>
    </w:rPr>
  </w:style>
  <w:style w:type="character" w:customStyle="1" w:styleId="18">
    <w:name w:val="Heading 2 Char"/>
    <w:basedOn w:val="13"/>
    <w:link w:val="3"/>
    <w:qFormat/>
    <w:uiPriority w:val="9"/>
    <w:rPr>
      <w:rFonts w:asciiTheme="majorHAnsi" w:hAnsiTheme="majorHAnsi" w:eastAsiaTheme="majorEastAsia" w:cstheme="majorBidi"/>
      <w:b/>
      <w:bCs/>
      <w:color w:val="4F81BD" w:themeColor="accent1"/>
      <w:sz w:val="26"/>
      <w:szCs w:val="26"/>
    </w:rPr>
  </w:style>
  <w:style w:type="character" w:customStyle="1" w:styleId="19">
    <w:name w:val="Heading 3 Char"/>
    <w:basedOn w:val="13"/>
    <w:link w:val="4"/>
    <w:qFormat/>
    <w:uiPriority w:val="9"/>
    <w:rPr>
      <w:rFonts w:asciiTheme="majorHAnsi" w:hAnsiTheme="majorHAnsi" w:eastAsiaTheme="majorEastAsia" w:cstheme="majorBidi"/>
      <w:b/>
      <w:bCs/>
      <w:color w:val="4F81BD" w:themeColor="accent1"/>
    </w:rPr>
  </w:style>
  <w:style w:type="character" w:customStyle="1" w:styleId="20">
    <w:name w:val="Heading 4 Char"/>
    <w:basedOn w:val="13"/>
    <w:link w:val="5"/>
    <w:qFormat/>
    <w:uiPriority w:val="9"/>
    <w:rPr>
      <w:rFonts w:asciiTheme="majorHAnsi" w:hAnsiTheme="majorHAnsi" w:eastAsiaTheme="majorEastAsia" w:cstheme="majorBidi"/>
      <w:b/>
      <w:bCs/>
      <w:i/>
      <w:iCs/>
      <w:color w:val="4F81BD" w:themeColor="accent1"/>
    </w:rPr>
  </w:style>
  <w:style w:type="character" w:customStyle="1" w:styleId="21">
    <w:name w:val="Subtitle Char"/>
    <w:basedOn w:val="13"/>
    <w:link w:val="9"/>
    <w:qFormat/>
    <w:uiPriority w:val="11"/>
    <w:rPr>
      <w:rFonts w:asciiTheme="majorHAnsi" w:hAnsiTheme="majorHAnsi" w:eastAsiaTheme="majorEastAsia" w:cstheme="majorBidi"/>
      <w:i/>
      <w:iCs/>
      <w:color w:val="4F81BD" w:themeColor="accent1"/>
      <w:spacing w:val="15"/>
      <w:sz w:val="24"/>
      <w:szCs w:val="24"/>
    </w:rPr>
  </w:style>
  <w:style w:type="character" w:customStyle="1" w:styleId="22">
    <w:name w:val="Title Char"/>
    <w:basedOn w:val="13"/>
    <w:link w:val="10"/>
    <w:qFormat/>
    <w:uiPriority w:val="10"/>
    <w:rPr>
      <w:rFonts w:asciiTheme="majorHAnsi" w:hAnsiTheme="majorHAnsi" w:eastAsiaTheme="majorEastAsia" w:cstheme="majorBidi"/>
      <w:color w:val="17365D" w:themeColor="text2" w:themeShade="BF"/>
      <w:spacing w:val="5"/>
      <w:kern w:val="28"/>
      <w:sz w:val="52"/>
      <w:szCs w:val="5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14</Pages>
  <Words>5713</Words>
  <Characters>6342</Characters>
  <TotalTime>0</TotalTime>
  <ScaleCrop>false</ScaleCrop>
  <LinksUpToDate>false</LinksUpToDate>
  <CharactersWithSpaces>6349</CharactersWithSpaces>
  <Application>WPS Office_11.1.0.14309_F1E327BC-269C-435d-A152-05C5408002CA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2026-08-20T03:15:00Z</dcterms:created>
  <dc:creator>Administrator</dc:creator>
  <cp:lastModifiedBy>Administrator</cp:lastModifiedBy>
  <dcterms:modified xsi:type="dcterms:W3CDTF">2026-08-20T11:53:34Z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42CE2AB8DC454A8C8BC90C36BA183B0D_12</vt:lpwstr>
  </property>
</Properties>
</file>