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新疆维吾尔自治区团校</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新疆维吾尔自治区团校是中国共产主义青年团新疆维吾尔自治区委员会直属公益一类事业单位。主要职能是：承担全区共青团干部、少先队辅导员业务培训工作；面向广大青少年开展各类教育培训工作。</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新疆维吾尔自治区团校无下属预算单位。</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2025年度收入总计2,676.40万元，其中：本年收入合计2,676.34万元，使用非财政拨款结余（含专用结余）0.06万元，年初结转和结余0.00万元。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2025年度支出总计2,676.40万元，其中：本年支出合计2,549.02万元，结余分配127.38万元，年末结转和结余0.00万元。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收入支出总体与上年相比，减少528.65万元，下降16.49%，主要原因是：2024年度</w:t>
      </w:r>
      <w:r>
        <w:rPr>
          <w:rFonts w:hint="eastAsia" w:ascii="仿宋_GB2312" w:eastAsia="仿宋_GB2312"/>
          <w:b w:val="0"/>
          <w:sz w:val="32"/>
          <w:szCs w:val="32"/>
          <w:lang w:eastAsia="zh-CN"/>
        </w:rPr>
        <w:t>申请</w:t>
      </w:r>
      <w:r>
        <w:rPr>
          <w:rFonts w:ascii="仿宋_GB2312" w:eastAsia="仿宋_GB2312"/>
          <w:b w:val="0"/>
          <w:sz w:val="32"/>
          <w:szCs w:val="32"/>
        </w:rPr>
        <w:t>团校体育馆运动设施维修改造</w:t>
      </w:r>
      <w:r>
        <w:rPr>
          <w:rFonts w:hint="eastAsia" w:ascii="仿宋_GB2312" w:eastAsia="仿宋_GB2312"/>
          <w:b w:val="0"/>
          <w:sz w:val="32"/>
          <w:szCs w:val="32"/>
          <w:lang w:eastAsia="zh-CN"/>
        </w:rPr>
        <w:t>项目</w:t>
      </w:r>
      <w:r>
        <w:rPr>
          <w:rFonts w:ascii="仿宋_GB2312" w:eastAsia="仿宋_GB2312"/>
          <w:b w:val="0"/>
          <w:sz w:val="32"/>
          <w:szCs w:val="32"/>
        </w:rPr>
        <w:t>并已完工，2025年度无</w:t>
      </w:r>
      <w:r>
        <w:rPr>
          <w:rFonts w:hint="eastAsia" w:ascii="仿宋_GB2312" w:eastAsia="仿宋_GB2312"/>
          <w:b w:val="0"/>
          <w:sz w:val="32"/>
          <w:szCs w:val="32"/>
          <w:lang w:eastAsia="zh-CN"/>
        </w:rPr>
        <w:t>此</w:t>
      </w:r>
      <w:r>
        <w:rPr>
          <w:rFonts w:ascii="仿宋_GB2312" w:eastAsia="仿宋_GB2312"/>
          <w:b w:val="0"/>
          <w:sz w:val="32"/>
          <w:szCs w:val="32"/>
        </w:rPr>
        <w:t>项目。</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2,676.34万元，其中：财政拨款收入2,176.49万元,占81.32%；上级补助收入0.00万元,占0.00%；事业收入218.78万元，占8.17%；经营收入280.92万元,占10.50%；附属单位上缴收入0.00万元，占0.00%；其他收入0.15万元，占0.01%。</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本年支出2,549.02万元，其中：基本支出1,771.70万元，占69.51%；项目支出623.78万元，占24.47%；上缴上级支出0.00万元，占0.00%；经营支出153.54万元，占6.02%；对附属单位补助支出0.00万元，占0.00%。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2,176.49万元，其中：年初财政拨款结转和结余0.00万元，本年财政拨款收入2,176.49万元。财政拨款支出总计2,176.49万元，其中：年末财政拨款结转和结余0.00万元，本年财政拨款支出2,176.49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财政拨款收入支出总体与上年相比，减少582.79万元，下降21.12%，主要原因是：2024年度</w:t>
      </w:r>
      <w:r>
        <w:rPr>
          <w:rFonts w:hint="eastAsia" w:ascii="仿宋_GB2312" w:eastAsia="仿宋_GB2312"/>
          <w:b w:val="0"/>
          <w:sz w:val="32"/>
          <w:szCs w:val="32"/>
          <w:lang w:eastAsia="zh-CN"/>
        </w:rPr>
        <w:t>申请</w:t>
      </w:r>
      <w:r>
        <w:rPr>
          <w:rFonts w:ascii="仿宋_GB2312" w:eastAsia="仿宋_GB2312"/>
          <w:b w:val="0"/>
          <w:sz w:val="32"/>
          <w:szCs w:val="32"/>
        </w:rPr>
        <w:t>团校体育馆运动设施维修改造</w:t>
      </w:r>
      <w:r>
        <w:rPr>
          <w:rFonts w:hint="eastAsia" w:ascii="仿宋_GB2312" w:eastAsia="仿宋_GB2312"/>
          <w:b w:val="0"/>
          <w:sz w:val="32"/>
          <w:szCs w:val="32"/>
          <w:lang w:eastAsia="zh-CN"/>
        </w:rPr>
        <w:t>项目</w:t>
      </w:r>
      <w:r>
        <w:rPr>
          <w:rFonts w:ascii="仿宋_GB2312" w:eastAsia="仿宋_GB2312"/>
          <w:b w:val="0"/>
          <w:sz w:val="32"/>
          <w:szCs w:val="32"/>
        </w:rPr>
        <w:t>并已完工，2025年度无</w:t>
      </w:r>
      <w:r>
        <w:rPr>
          <w:rFonts w:hint="eastAsia" w:ascii="仿宋_GB2312" w:eastAsia="仿宋_GB2312"/>
          <w:b w:val="0"/>
          <w:sz w:val="32"/>
          <w:szCs w:val="32"/>
          <w:lang w:eastAsia="zh-CN"/>
        </w:rPr>
        <w:t>此</w:t>
      </w:r>
      <w:r>
        <w:rPr>
          <w:rFonts w:ascii="仿宋_GB2312" w:eastAsia="仿宋_GB2312"/>
          <w:b w:val="0"/>
          <w:sz w:val="32"/>
          <w:szCs w:val="32"/>
        </w:rPr>
        <w:t>项目。与年初预算相比，年初预算数2,017.89万元，决算数2,176.49万元，预决算差异率7.86%，主要原因是：</w:t>
      </w:r>
      <w:r>
        <w:rPr>
          <w:rFonts w:hint="eastAsia" w:ascii="仿宋_GB2312" w:eastAsia="仿宋_GB2312"/>
          <w:b w:val="0"/>
          <w:sz w:val="32"/>
          <w:szCs w:val="32"/>
          <w:lang w:eastAsia="zh-CN"/>
        </w:rPr>
        <w:t>年中追加绩效奖及人员工资调整</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w:t>
      </w:r>
      <w:r>
        <w:rPr>
          <w:rFonts w:hint="eastAsia" w:ascii="仿宋_GB2312" w:eastAsia="仿宋_GB2312"/>
          <w:b w:val="0"/>
          <w:sz w:val="32"/>
          <w:szCs w:val="32"/>
          <w:lang w:eastAsia="zh-CN"/>
        </w:rPr>
        <w:t>团干部培训、人员经费、日常运转经费</w:t>
      </w:r>
      <w:r>
        <w:rPr>
          <w:rFonts w:ascii="仿宋_GB2312" w:eastAsia="仿宋_GB2312"/>
          <w:b w:val="0"/>
          <w:sz w:val="32"/>
          <w:szCs w:val="32"/>
        </w:rPr>
        <w:t>等重点支出，体现在有关支出科目中。</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按照支出功能分类，一般公共服务支出（类）群众团体事务（款）事业运行（项）的支出占本年财政拨款支出总额的比重最高，2025年度决算数为1,151.20万元，占比52.89%，主要用于</w:t>
      </w:r>
      <w:r>
        <w:rPr>
          <w:rFonts w:hint="eastAsia" w:ascii="仿宋_GB2312" w:eastAsia="仿宋_GB2312"/>
          <w:b w:val="0"/>
          <w:sz w:val="32"/>
          <w:szCs w:val="32"/>
          <w:lang w:eastAsia="zh-CN"/>
        </w:rPr>
        <w:t>人员经费及日常运转经费支出</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2025年度一般公共预算财政拨款支出2,176.49万元，占本年支出合计的85.39%。与上年相比，减少582.79万元，下降21.12%，主要原因是：2024年度</w:t>
      </w:r>
      <w:r>
        <w:rPr>
          <w:rFonts w:hint="eastAsia" w:ascii="仿宋_GB2312" w:eastAsia="仿宋_GB2312"/>
          <w:b w:val="0"/>
          <w:sz w:val="32"/>
          <w:szCs w:val="32"/>
          <w:lang w:eastAsia="zh-CN"/>
        </w:rPr>
        <w:t>申请</w:t>
      </w:r>
      <w:r>
        <w:rPr>
          <w:rFonts w:ascii="仿宋_GB2312" w:eastAsia="仿宋_GB2312"/>
          <w:b w:val="0"/>
          <w:sz w:val="32"/>
          <w:szCs w:val="32"/>
        </w:rPr>
        <w:t>团校体育馆运动设施维修改造</w:t>
      </w:r>
      <w:r>
        <w:rPr>
          <w:rFonts w:hint="eastAsia" w:ascii="仿宋_GB2312" w:eastAsia="仿宋_GB2312"/>
          <w:b w:val="0"/>
          <w:sz w:val="32"/>
          <w:szCs w:val="32"/>
          <w:lang w:eastAsia="zh-CN"/>
        </w:rPr>
        <w:t>项目</w:t>
      </w:r>
      <w:r>
        <w:rPr>
          <w:rFonts w:ascii="仿宋_GB2312" w:eastAsia="仿宋_GB2312"/>
          <w:b w:val="0"/>
          <w:sz w:val="32"/>
          <w:szCs w:val="32"/>
        </w:rPr>
        <w:t>并已完工，2025年度无</w:t>
      </w:r>
      <w:r>
        <w:rPr>
          <w:rFonts w:hint="eastAsia" w:ascii="仿宋_GB2312" w:eastAsia="仿宋_GB2312"/>
          <w:b w:val="0"/>
          <w:sz w:val="32"/>
          <w:szCs w:val="32"/>
          <w:lang w:eastAsia="zh-CN"/>
        </w:rPr>
        <w:t>此</w:t>
      </w:r>
      <w:r>
        <w:rPr>
          <w:rFonts w:ascii="仿宋_GB2312" w:eastAsia="仿宋_GB2312"/>
          <w:b w:val="0"/>
          <w:sz w:val="32"/>
          <w:szCs w:val="32"/>
        </w:rPr>
        <w:t>项目。与年初预算相比，年初预算数2,017.89万元，决算数2,176.49万元，预决算差异率7.86%，主要原因是：</w:t>
      </w:r>
      <w:r>
        <w:rPr>
          <w:rFonts w:hint="eastAsia" w:ascii="仿宋_GB2312" w:eastAsia="仿宋_GB2312"/>
          <w:b w:val="0"/>
          <w:sz w:val="32"/>
          <w:szCs w:val="32"/>
          <w:lang w:eastAsia="zh-CN"/>
        </w:rPr>
        <w:t>年中追加绩效奖及人员工资调整</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1.一般公共服务支出（类）1,556.20万元，占71.50%。</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2.社会保障和就业支出（类）367.98万元，占16.91%。</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3.卫生健康支出（类）143.45万元，占6.59%。</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4.住房保障支出（类）108.86万元，占5.00%。</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1、一般公共服务支出（类）群众团体事务（款）事业运行（项）：支出决算数为1,151.20万元，比上年决算增加64.46万元，增长5.93%，主要原因是：人员</w:t>
      </w:r>
      <w:r>
        <w:rPr>
          <w:rFonts w:hint="eastAsia" w:ascii="仿宋_GB2312" w:eastAsia="仿宋_GB2312"/>
          <w:b w:val="0"/>
          <w:sz w:val="32"/>
          <w:szCs w:val="32"/>
          <w:lang w:eastAsia="zh-CN"/>
        </w:rPr>
        <w:t>工资调整</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2、一般公共服务支出（类）群众团体事务（款）其他群众团体事务支出（项）：支出决算数为405.00万元，比上年决算减少815.50万元，下降66.82%，主要原因是：2024年度</w:t>
      </w:r>
      <w:r>
        <w:rPr>
          <w:rFonts w:hint="eastAsia" w:ascii="仿宋_GB2312" w:eastAsia="仿宋_GB2312"/>
          <w:b w:val="0"/>
          <w:sz w:val="32"/>
          <w:szCs w:val="32"/>
          <w:lang w:eastAsia="zh-CN"/>
        </w:rPr>
        <w:t>申请</w:t>
      </w:r>
      <w:r>
        <w:rPr>
          <w:rFonts w:ascii="仿宋_GB2312" w:eastAsia="仿宋_GB2312"/>
          <w:b w:val="0"/>
          <w:sz w:val="32"/>
          <w:szCs w:val="32"/>
        </w:rPr>
        <w:t>团校体育馆运动设施维修改造</w:t>
      </w:r>
      <w:r>
        <w:rPr>
          <w:rFonts w:hint="eastAsia" w:ascii="仿宋_GB2312" w:eastAsia="仿宋_GB2312"/>
          <w:b w:val="0"/>
          <w:sz w:val="32"/>
          <w:szCs w:val="32"/>
          <w:lang w:eastAsia="zh-CN"/>
        </w:rPr>
        <w:t>项目</w:t>
      </w:r>
      <w:r>
        <w:rPr>
          <w:rFonts w:ascii="仿宋_GB2312" w:eastAsia="仿宋_GB2312"/>
          <w:b w:val="0"/>
          <w:sz w:val="32"/>
          <w:szCs w:val="32"/>
        </w:rPr>
        <w:t>并已完工，2025年度无</w:t>
      </w:r>
      <w:r>
        <w:rPr>
          <w:rFonts w:hint="eastAsia" w:ascii="仿宋_GB2312" w:eastAsia="仿宋_GB2312"/>
          <w:b w:val="0"/>
          <w:sz w:val="32"/>
          <w:szCs w:val="32"/>
          <w:lang w:eastAsia="zh-CN"/>
        </w:rPr>
        <w:t>此</w:t>
      </w:r>
      <w:r>
        <w:rPr>
          <w:rFonts w:ascii="仿宋_GB2312" w:eastAsia="仿宋_GB2312"/>
          <w:b w:val="0"/>
          <w:sz w:val="32"/>
          <w:szCs w:val="32"/>
        </w:rPr>
        <w:t>项目。</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3、社会保障和就业支出（类）行政事业单位养老支出（款）事业单位离退休（项）：支出决算数为138.46万元，比上年决算增加17.86万元，增长14.81%，主要原因是：</w:t>
      </w:r>
      <w:r>
        <w:rPr>
          <w:rFonts w:hint="eastAsia" w:ascii="仿宋_GB2312" w:eastAsia="仿宋_GB2312"/>
          <w:b w:val="0"/>
          <w:sz w:val="32"/>
          <w:szCs w:val="32"/>
          <w:lang w:eastAsia="zh-CN"/>
        </w:rPr>
        <w:t>人员工资调整致使</w:t>
      </w:r>
      <w:r>
        <w:rPr>
          <w:rFonts w:ascii="仿宋_GB2312" w:eastAsia="仿宋_GB2312"/>
          <w:b w:val="0"/>
          <w:sz w:val="32"/>
          <w:szCs w:val="32"/>
        </w:rPr>
        <w:t>缴费基数</w:t>
      </w:r>
      <w:r>
        <w:rPr>
          <w:rFonts w:hint="eastAsia" w:ascii="仿宋_GB2312" w:eastAsia="仿宋_GB2312"/>
          <w:b w:val="0"/>
          <w:sz w:val="32"/>
          <w:szCs w:val="32"/>
          <w:lang w:eastAsia="zh-CN"/>
        </w:rPr>
        <w:t>增加</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4、社会保障和就业支出（类）行政事业单位养老支出（款）机关事业单位基本养老保险缴费支出（项）：支出决算数为145.13万元，比上年决算增加26.34万元，增长22.17%，主要原因是：</w:t>
      </w:r>
      <w:r>
        <w:rPr>
          <w:rFonts w:hint="eastAsia" w:ascii="仿宋_GB2312" w:eastAsia="仿宋_GB2312"/>
          <w:b w:val="0"/>
          <w:sz w:val="32"/>
          <w:szCs w:val="32"/>
          <w:lang w:eastAsia="zh-CN"/>
        </w:rPr>
        <w:t>人员工资调整致使</w:t>
      </w:r>
      <w:r>
        <w:rPr>
          <w:rFonts w:ascii="仿宋_GB2312" w:eastAsia="仿宋_GB2312"/>
          <w:b w:val="0"/>
          <w:sz w:val="32"/>
          <w:szCs w:val="32"/>
        </w:rPr>
        <w:t>缴费基数</w:t>
      </w:r>
      <w:r>
        <w:rPr>
          <w:rFonts w:hint="eastAsia" w:ascii="仿宋_GB2312" w:eastAsia="仿宋_GB2312"/>
          <w:b w:val="0"/>
          <w:sz w:val="32"/>
          <w:szCs w:val="32"/>
          <w:lang w:eastAsia="zh-CN"/>
        </w:rPr>
        <w:t>增加</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5、社会保障和就业支出（类）行政事业单位养老支出（款）机关事业单位职业年金缴费支出（项）：支出决算数为84.39万元，比上年决算增加68.48万元，增长430.42%，主要原因是：</w:t>
      </w:r>
      <w:r>
        <w:rPr>
          <w:rFonts w:hint="eastAsia" w:ascii="仿宋_GB2312" w:eastAsia="仿宋_GB2312"/>
          <w:b w:val="0"/>
          <w:sz w:val="32"/>
          <w:szCs w:val="32"/>
          <w:lang w:eastAsia="zh-CN"/>
        </w:rPr>
        <w:t>人员工资调整致使</w:t>
      </w:r>
      <w:r>
        <w:rPr>
          <w:rFonts w:ascii="仿宋_GB2312" w:eastAsia="仿宋_GB2312"/>
          <w:b w:val="0"/>
          <w:sz w:val="32"/>
          <w:szCs w:val="32"/>
        </w:rPr>
        <w:t>缴费基数</w:t>
      </w:r>
      <w:r>
        <w:rPr>
          <w:rFonts w:hint="eastAsia" w:ascii="仿宋_GB2312" w:eastAsia="仿宋_GB2312"/>
          <w:b w:val="0"/>
          <w:sz w:val="32"/>
          <w:szCs w:val="32"/>
          <w:lang w:eastAsia="zh-CN"/>
        </w:rPr>
        <w:t>增加</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6、卫生健康支出（类）行政事业单位医疗（款）事业单位医疗（项）：支出决算数为79.95万元，比上年决算增加24.27万元，增长43.59%，主要原因是：</w:t>
      </w:r>
      <w:r>
        <w:rPr>
          <w:rFonts w:hint="eastAsia" w:ascii="仿宋_GB2312" w:eastAsia="仿宋_GB2312"/>
          <w:b w:val="0"/>
          <w:sz w:val="32"/>
          <w:szCs w:val="32"/>
          <w:lang w:eastAsia="zh-CN"/>
        </w:rPr>
        <w:t>人员工资调整致使</w:t>
      </w:r>
      <w:r>
        <w:rPr>
          <w:rFonts w:ascii="仿宋_GB2312" w:eastAsia="仿宋_GB2312"/>
          <w:b w:val="0"/>
          <w:sz w:val="32"/>
          <w:szCs w:val="32"/>
        </w:rPr>
        <w:t>缴费基数</w:t>
      </w:r>
      <w:r>
        <w:rPr>
          <w:rFonts w:hint="eastAsia" w:ascii="仿宋_GB2312" w:eastAsia="仿宋_GB2312"/>
          <w:b w:val="0"/>
          <w:sz w:val="32"/>
          <w:szCs w:val="32"/>
          <w:lang w:eastAsia="zh-CN"/>
        </w:rPr>
        <w:t>增加</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7、卫生健康支出（类）行政事业单位医疗（款）公务员医疗补助（项）：支出决算数为63.50万元，比上年决算增加11.53万元，增长22.19%，主要原因是：</w:t>
      </w:r>
      <w:r>
        <w:rPr>
          <w:rFonts w:hint="eastAsia" w:ascii="仿宋_GB2312" w:eastAsia="仿宋_GB2312"/>
          <w:b w:val="0"/>
          <w:sz w:val="32"/>
          <w:szCs w:val="32"/>
          <w:lang w:eastAsia="zh-CN"/>
        </w:rPr>
        <w:t>人员工资调整致使</w:t>
      </w:r>
      <w:r>
        <w:rPr>
          <w:rFonts w:ascii="仿宋_GB2312" w:eastAsia="仿宋_GB2312"/>
          <w:b w:val="0"/>
          <w:sz w:val="32"/>
          <w:szCs w:val="32"/>
        </w:rPr>
        <w:t>缴费基数</w:t>
      </w:r>
      <w:r>
        <w:rPr>
          <w:rFonts w:hint="eastAsia" w:ascii="仿宋_GB2312" w:eastAsia="仿宋_GB2312"/>
          <w:b w:val="0"/>
          <w:sz w:val="32"/>
          <w:szCs w:val="32"/>
          <w:lang w:eastAsia="zh-CN"/>
        </w:rPr>
        <w:t>增加</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8、住房保障支出（类）住房改革支出（款）住房公积金（项）：支出决算数为108.86万元，比上年决算增加19.77万元，增长22.19%，主要原因是：</w:t>
      </w:r>
      <w:r>
        <w:rPr>
          <w:rFonts w:hint="eastAsia" w:ascii="仿宋_GB2312" w:eastAsia="仿宋_GB2312"/>
          <w:b w:val="0"/>
          <w:sz w:val="32"/>
          <w:szCs w:val="32"/>
          <w:lang w:eastAsia="zh-CN"/>
        </w:rPr>
        <w:t>人员工资调整致使</w:t>
      </w:r>
      <w:r>
        <w:rPr>
          <w:rFonts w:ascii="仿宋_GB2312" w:eastAsia="仿宋_GB2312"/>
          <w:b w:val="0"/>
          <w:sz w:val="32"/>
          <w:szCs w:val="32"/>
        </w:rPr>
        <w:t>缴费基数</w:t>
      </w:r>
      <w:r>
        <w:rPr>
          <w:rFonts w:hint="eastAsia" w:ascii="仿宋_GB2312" w:eastAsia="仿宋_GB2312"/>
          <w:b w:val="0"/>
          <w:sz w:val="32"/>
          <w:szCs w:val="32"/>
          <w:lang w:eastAsia="zh-CN"/>
        </w:rPr>
        <w:t>增加</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基本支出1,771.49万元，其中：人员经费1,559.47万元，包括：基本工资、津贴补贴、奖金、绩效工资、机关事业单位基本养老保险缴费、职业年金缴费、职工基本医疗保险缴费、公务员医疗补助缴费、其他社会保障缴费、住房公积金、退休费、生活补助和其他对个人和家庭的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公用经费212.02万元，包括：办公费、水费、电费、邮电费、取暖费、物业管理费、差旅费、工会经费、福利费、公务用车运行维护费和其他商品和服务支出。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三公”经费支出1.50万元，与上年相比无变化，主要原因是：按照厉行节约要求，严格控制“三公”经费支出，较上年相比无变化。其中：因公出国（境）费用支出0.00万元,占0.00%，与上年相比无变化，主要原因是：团校本年度无因公出国（境）费用支出，与上年保持一致；公务用车购置及运行维护费支出1.50万元，占100.00%，与上年相比无变化，主要原因是：按照厉行节约要求，严格控制公务用车购置及运行维护费支出，与上年保持一致；公务接待费支出0.00万元，占0.00%，与上年相比无变化，主要原因是：</w:t>
      </w:r>
      <w:r>
        <w:rPr>
          <w:rFonts w:ascii="仿宋_GB2312" w:eastAsia="仿宋_GB2312"/>
          <w:sz w:val="32"/>
          <w:szCs w:val="32"/>
        </w:rPr>
        <w:t>本年度</w:t>
      </w:r>
      <w:r>
        <w:rPr>
          <w:rFonts w:hint="eastAsia" w:ascii="仿宋_GB2312" w:eastAsia="仿宋_GB2312"/>
          <w:sz w:val="32"/>
          <w:szCs w:val="32"/>
          <w:lang w:eastAsia="zh-CN"/>
        </w:rPr>
        <w:t>本</w:t>
      </w:r>
      <w:r>
        <w:rPr>
          <w:rFonts w:ascii="仿宋_GB2312" w:eastAsia="仿宋_GB2312"/>
          <w:sz w:val="32"/>
          <w:szCs w:val="32"/>
        </w:rPr>
        <w:t>单位未安排公务接待活动，与去年无变化</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因公出国（境）费用0.00万元，开支内容包括本单位本年度无因公出国（境）费用支出，与上年保持一致。单位全年安排的因公出国（境）团组0个，因公出国（境）0人次。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1.50万元，其中：公务用车购置费0.00万元，公务用车运行维护费1.50万元。公务用车运行维护费开支内容包括车辆燃油费、车辆保险费、车辆维修费、车辆过路费。公务用车购置数0辆，公务用车保有量4辆。国有资产占用情况中固定资产车辆4辆，与公务用车保有量差异原因是：本单位本年度固定资产车辆数与公务用车保有量保持一致，无差异。</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公务接待费0.00万元，开支内容包括本单位本年度无公务接待费用支出，与上年保持一致。单位全年安排的国内公务接待0批次，0人次。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与全年预算相比，财政拨款“三公”经费支出全年预算数1.50万元，决算数1.50万元，预决算差异率0.00%，主要原因是：按照厉行节约要求，</w:t>
      </w:r>
      <w:r>
        <w:rPr>
          <w:rFonts w:hint="eastAsia" w:ascii="仿宋_GB2312" w:eastAsia="仿宋_GB2312"/>
          <w:b w:val="0"/>
          <w:sz w:val="32"/>
          <w:szCs w:val="32"/>
          <w:lang w:eastAsia="zh-CN"/>
        </w:rPr>
        <w:t>团校</w:t>
      </w:r>
      <w:r>
        <w:rPr>
          <w:rFonts w:ascii="仿宋_GB2312" w:eastAsia="仿宋_GB2312"/>
          <w:b w:val="0"/>
          <w:sz w:val="32"/>
          <w:szCs w:val="32"/>
        </w:rPr>
        <w:t>严格控制“三公”经费支出，使得预决算无差异。其中：因公出国（境）费用全年预算数0.00万元，决算数0.00万元，预决算差异率0.00%，主要原因是：团校本年度无因公出国（境）费，与年初预算保持一致，无差异；公务用车购置费全年预算数0.00万元，决算数0.00万元，预决算差异率0.00%，主要原因是：团校本年度无公务用车购置费，与年初预算保持一致，无差异；公务用车运行维护费全年预算数1.50万元，决算数1.50万元，预决算差异率0.00%，主要原因是：按照厉行节约要求，团校严格控制公务用车运行维护费支出，使得预决算无差异；公务接待费全年预算数0.00万元，决算数0.00万元，预决算差异率0.00%，主要原因是：团校本年度无公务接待费，与年初预算保持一致，无差异。</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2025年度新疆维吾尔自治区团校（事业单位）公用经费支出212.02万元，比上年增加51.29万元，增长31.91%，主要原因是：</w:t>
      </w:r>
      <w:r>
        <w:rPr>
          <w:rFonts w:hint="eastAsia" w:ascii="仿宋_GB2312" w:eastAsia="仿宋_GB2312"/>
          <w:b w:val="0"/>
          <w:sz w:val="32"/>
          <w:szCs w:val="32"/>
          <w:lang w:eastAsia="zh-CN"/>
        </w:rPr>
        <w:t>本年度本单位暖气费支出</w:t>
      </w:r>
      <w:bookmarkStart w:id="0" w:name="_GoBack"/>
      <w:bookmarkEnd w:id="0"/>
      <w:r>
        <w:rPr>
          <w:rFonts w:ascii="仿宋_GB2312" w:eastAsia="仿宋_GB2312"/>
          <w:b w:val="0"/>
          <w:sz w:val="32"/>
          <w:szCs w:val="32"/>
        </w:rPr>
        <w:t>有所</w:t>
      </w:r>
      <w:r>
        <w:rPr>
          <w:rFonts w:hint="eastAsia" w:ascii="仿宋_GB2312" w:eastAsia="仿宋_GB2312"/>
          <w:b w:val="0"/>
          <w:sz w:val="32"/>
          <w:szCs w:val="32"/>
          <w:lang w:eastAsia="zh-CN"/>
        </w:rPr>
        <w:t>提高</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2025年度政府采购支出总额45.83万元，其中：政府采购货物支出27.30万元、政府采购工程支出0.00万元、政府采购服务支出18.53万元。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授予中小企业合同金额19.32万元，占政府采购支出总额的42.16%，其中：授予小微企业合同金额18.52万元，占政府采购支出总额的40.41%。</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2025年12月31日，房屋21,656.66平方米，价值2,525.57万元。车辆4辆，价值134.80万元，其中：副部（省）级及以上领导用车0辆、主要负责人用车0辆、机要通信用车0辆、应急保障用车0辆、执法执勤用车0辆、特种专业技术用车0辆、离退休干部服务用车0辆、其他用车4辆，其他用车主要是：一般公务用车;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2025年度预算绩效评价项目4个，全年预算数1,105万元，全年执行数777.32万元。预算绩效管理取得的成效：一是完善绩效评估机制，对绩效目标进行实时跟踪。要求各部门根据往年预算制定、项目执行和项目效果，对2025年重点项目进行事前绩效评估。二是强化绩效目标管理。细化各项工作任务，各部门根据具体工作设置绩效目标，逐项设置政策及项目绩效目标，绩效目标要突出社会效益、可持续影响和服务对象满意度等绩效指标。三是开展绩效评价和结果应用。绩效目标完成后，形成绩效总结，开展绩效评价</w:t>
      </w:r>
      <w:r>
        <w:rPr>
          <w:rFonts w:hint="eastAsia" w:ascii="仿宋_GB2312" w:eastAsia="仿宋_GB2312"/>
          <w:b w:val="0"/>
          <w:sz w:val="32"/>
          <w:szCs w:val="32"/>
          <w:lang w:eastAsia="zh-CN"/>
        </w:rPr>
        <w:t>，</w:t>
      </w:r>
      <w:r>
        <w:rPr>
          <w:rFonts w:ascii="仿宋_GB2312" w:eastAsia="仿宋_GB2312"/>
          <w:b w:val="0"/>
          <w:sz w:val="32"/>
          <w:szCs w:val="32"/>
        </w:rPr>
        <w:t>就本年度预算执行情况及政策、项目实施效果开展绩效自评，评价结果报送自治区财政厅。四是强化绩效管理激励约束。各部门整体绩效与预算安排挂钩，对绩效好的项目原则上优先保障，对未能如期实现绩效目标或绩效评价较差的，在编制下年度预算时适当调减项目资金的额度，形成了奖优罚劣的绩效激励机制。各部门负责人对项目预算绩效负责，对重大项目目标实行终身责任追究制，让责任压力上承顶端、下达末梢。发现的问题及原因：一是预算绩效管理工作开展时间较短，个别部室对全面实施预算绩效管理的重要性认识不足，全过程预算管理链条不够完善，事中监控还存在一些薄弱环节</w:t>
      </w:r>
      <w:r>
        <w:rPr>
          <w:rFonts w:hint="eastAsia" w:ascii="仿宋_GB2312" w:eastAsia="仿宋_GB2312"/>
          <w:b w:val="0"/>
          <w:sz w:val="32"/>
          <w:szCs w:val="32"/>
          <w:lang w:eastAsia="zh-CN"/>
        </w:rPr>
        <w:t>。</w:t>
      </w:r>
      <w:r>
        <w:rPr>
          <w:rFonts w:ascii="仿宋_GB2312" w:eastAsia="仿宋_GB2312"/>
          <w:b w:val="0"/>
          <w:sz w:val="32"/>
          <w:szCs w:val="32"/>
        </w:rPr>
        <w:t>二是个别项目预算执行进度较慢。下一步改进措施：一是严格按照各项财务规章制度开展工作</w:t>
      </w:r>
      <w:r>
        <w:rPr>
          <w:rFonts w:hint="eastAsia" w:ascii="仿宋_GB2312" w:eastAsia="仿宋_GB2312"/>
          <w:b w:val="0"/>
          <w:sz w:val="32"/>
          <w:szCs w:val="32"/>
          <w:lang w:eastAsia="zh-CN"/>
        </w:rPr>
        <w:t>。</w:t>
      </w:r>
      <w:r>
        <w:rPr>
          <w:rFonts w:ascii="仿宋_GB2312" w:eastAsia="仿宋_GB2312"/>
          <w:b w:val="0"/>
          <w:sz w:val="32"/>
          <w:szCs w:val="32"/>
        </w:rPr>
        <w:t>二是各部室依据绩效管理相关规定开展工作，做到事前有绩效评估，事中有绩效监控，事后有绩效评价，实现绩效过程全覆盖。具体附项目支出绩效自评表。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本单位无其他需说明的事项。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YjI0NTE0ZjhhNmE5ZDk5OWZlNDA4NmNiNzYwZDgyNzAifQ=="/>
  </w:docVars>
  <w:rsids>
    <w:rsidRoot w:val="00000000"/>
    <w:rsid w:val="09383E5F"/>
    <w:rsid w:val="0D5D5C42"/>
    <w:rsid w:val="21177533"/>
    <w:rsid w:val="48515DC8"/>
    <w:rsid w:val="4B09298A"/>
    <w:rsid w:val="5751610B"/>
    <w:rsid w:val="65BF216B"/>
    <w:rsid w:val="6C0842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uiPriority w:val="99"/>
    <w:rPr>
      <w:color w:val="0000FF" w:themeColor="hyperlink"/>
      <w:u w:val="single"/>
    </w:rPr>
  </w:style>
  <w:style w:type="character" w:customStyle="1" w:styleId="16">
    <w:name w:val="Header Char"/>
    <w:basedOn w:val="13"/>
    <w:link w:val="8"/>
    <w:uiPriority w:val="99"/>
  </w:style>
  <w:style w:type="character" w:customStyle="1" w:styleId="17">
    <w:name w:val="Heading 1 Char"/>
    <w:basedOn w:val="13"/>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13"/>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13"/>
    <w:link w:val="4"/>
    <w:uiPriority w:val="9"/>
    <w:rPr>
      <w:rFonts w:asciiTheme="majorHAnsi" w:hAnsiTheme="majorHAnsi" w:eastAsiaTheme="majorEastAsia" w:cstheme="majorBidi"/>
      <w:b/>
      <w:bCs/>
      <w:color w:val="4F81BD" w:themeColor="accent1"/>
    </w:rPr>
  </w:style>
  <w:style w:type="character" w:customStyle="1" w:styleId="20">
    <w:name w:val="Heading 4 Char"/>
    <w:basedOn w:val="13"/>
    <w:link w:val="5"/>
    <w:uiPriority w:val="9"/>
    <w:rPr>
      <w:rFonts w:asciiTheme="majorHAnsi" w:hAnsiTheme="majorHAnsi" w:eastAsiaTheme="majorEastAsia" w:cstheme="majorBidi"/>
      <w:b/>
      <w:bCs/>
      <w:i/>
      <w:iCs/>
      <w:color w:val="4F81BD" w:themeColor="accent1"/>
    </w:rPr>
  </w:style>
  <w:style w:type="character" w:customStyle="1" w:styleId="21">
    <w:name w:val="Subtitle Char"/>
    <w:basedOn w:val="13"/>
    <w:link w:val="9"/>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13"/>
    <w:link w:val="10"/>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Words>5853</Words>
  <Characters>6546</Characters>
  <TotalTime>3</TotalTime>
  <ScaleCrop>false</ScaleCrop>
  <LinksUpToDate>false</LinksUpToDate>
  <CharactersWithSpaces>6553</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2026-08-20T04:24:00Z</dcterms:created>
  <dc:creator>Administrator</dc:creator>
  <cp:lastModifiedBy>Administrator</cp:lastModifiedBy>
  <dcterms:modified xsi:type="dcterms:W3CDTF">2026-08-20T11:52:59Z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9D8F8F8908B04C1D91FBFED6C8F19A94_12</vt:lpwstr>
  </property>
</Properties>
</file>