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textAlignment w:val="auto"/>
        <w:rPr>
          <w:kern w:val="0"/>
        </w:rPr>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_GBK" w:hAnsi="方正小标宋_GBK" w:eastAsia="方正小标宋_GBK" w:cs="方正小标宋_GBK"/>
          <w:b/>
          <w:kern w:val="0"/>
          <w:sz w:val="44"/>
          <w:szCs w:val="44"/>
        </w:rPr>
      </w:pPr>
      <w:r>
        <w:rPr>
          <w:rFonts w:hint="eastAsia" w:ascii="方正小标宋_GBK" w:hAnsi="方正小标宋_GBK" w:eastAsia="方正小标宋_GBK" w:cs="方正小标宋_GBK"/>
          <w:kern w:val="0"/>
          <w:sz w:val="44"/>
          <w:szCs w:val="44"/>
          <w:lang w:val="en-US" w:eastAsia="zh-CN"/>
        </w:rPr>
        <w:t>自治区人民政府研究室、参事室（文史研究馆）</w:t>
      </w:r>
      <w:r>
        <w:rPr>
          <w:rFonts w:hint="eastAsia" w:ascii="方正小标宋_GBK" w:hAnsi="方正小标宋_GBK" w:eastAsia="方正小标宋_GBK" w:cs="方正小标宋_GBK"/>
          <w:kern w:val="0"/>
          <w:sz w:val="44"/>
          <w:szCs w:val="44"/>
        </w:rPr>
        <w:t>项目支出绩效</w:t>
      </w:r>
      <w:r>
        <w:rPr>
          <w:rFonts w:hint="eastAsia" w:ascii="方正小标宋_GBK" w:hAnsi="方正小标宋_GBK" w:eastAsia="方正小标宋_GBK" w:cs="方正小标宋_GBK"/>
          <w:kern w:val="0"/>
          <w:sz w:val="44"/>
          <w:szCs w:val="44"/>
          <w:lang w:val="en-US" w:eastAsia="zh-CN"/>
        </w:rPr>
        <w:t>评价</w:t>
      </w:r>
      <w:r>
        <w:rPr>
          <w:rFonts w:hint="eastAsia" w:ascii="方正小标宋_GBK" w:hAnsi="方正小标宋_GBK" w:eastAsia="方正小标宋_GBK" w:cs="方正小标宋_GBK"/>
          <w:kern w:val="0"/>
          <w:sz w:val="44"/>
          <w:szCs w:val="44"/>
        </w:rPr>
        <w:t>报告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kern w:val="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b w:val="0"/>
          <w:bCs w:val="0"/>
          <w:kern w:val="0"/>
        </w:rPr>
      </w:pPr>
      <w:r>
        <w:rPr>
          <w:rFonts w:hint="eastAsia"/>
          <w:b w:val="0"/>
          <w:bCs w:val="0"/>
          <w:kern w:val="0"/>
        </w:rPr>
        <w:t>（</w:t>
      </w:r>
      <w:r>
        <w:rPr>
          <w:rStyle w:val="10"/>
          <w:rFonts w:hint="eastAsia" w:eastAsia="楷体_GB2312" w:cs="楷体_GB2312"/>
          <w:b w:val="0"/>
          <w:bCs w:val="0"/>
        </w:rPr>
        <w:t>202</w:t>
      </w:r>
      <w:r>
        <w:rPr>
          <w:rStyle w:val="10"/>
          <w:rFonts w:hint="eastAsia" w:eastAsia="楷体_GB2312" w:cs="楷体_GB2312"/>
          <w:b w:val="0"/>
          <w:bCs w:val="0"/>
          <w:lang w:val="en-US" w:eastAsia="zh-CN"/>
        </w:rPr>
        <w:t>5</w:t>
      </w:r>
      <w:r>
        <w:rPr>
          <w:rFonts w:hint="eastAsia"/>
          <w:b w:val="0"/>
          <w:bCs w:val="0"/>
          <w:kern w:val="0"/>
        </w:rPr>
        <w:t>年度）</w:t>
      </w:r>
    </w:p>
    <w:p>
      <w:pPr>
        <w:keepNext w:val="0"/>
        <w:keepLines w:val="0"/>
        <w:pageBreakBefore w:val="0"/>
        <w:widowControl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kern w:val="0"/>
        </w:rPr>
      </w:pPr>
    </w:p>
    <w:p>
      <w:pPr>
        <w:pStyle w:val="4"/>
        <w:pageBreakBefore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kern w:val="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kern w:val="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kern w:val="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distribute"/>
        <w:textAlignment w:val="auto"/>
        <w:rPr>
          <w:rFonts w:hint="eastAsia"/>
          <w:spacing w:val="-6"/>
          <w:w w:val="125"/>
          <w:kern w:val="0"/>
          <w:sz w:val="32"/>
        </w:rPr>
      </w:pPr>
      <w:r>
        <w:rPr>
          <w:rFonts w:hint="eastAsia"/>
          <w:kern w:val="0"/>
        </w:rPr>
        <w:t>部门</w:t>
      </w:r>
      <w:r>
        <w:rPr>
          <w:rFonts w:hint="eastAsia"/>
          <w:kern w:val="0"/>
          <w:lang w:val="en-US" w:eastAsia="zh-CN"/>
        </w:rPr>
        <w:t>名称</w:t>
      </w:r>
      <w:r>
        <w:rPr>
          <w:rFonts w:hint="eastAsia"/>
          <w:kern w:val="0"/>
        </w:rPr>
        <w:t>（公章）：</w:t>
      </w:r>
      <w:r>
        <w:rPr>
          <w:rFonts w:hint="eastAsia"/>
          <w:spacing w:val="-6"/>
          <w:w w:val="125"/>
          <w:kern w:val="0"/>
          <w:sz w:val="32"/>
        </w:rPr>
        <w:t>新疆维吾尔自治区人民政府研究室</w:t>
      </w:r>
    </w:p>
    <w:p>
      <w:pPr>
        <w:keepNext w:val="0"/>
        <w:keepLines w:val="0"/>
        <w:pageBreakBefore w:val="0"/>
        <w:widowControl w:val="0"/>
        <w:kinsoku/>
        <w:wordWrap/>
        <w:overflowPunct/>
        <w:topLinePunct w:val="0"/>
        <w:autoSpaceDE/>
        <w:autoSpaceDN/>
        <w:bidi w:val="0"/>
        <w:adjustRightInd/>
        <w:snapToGrid/>
        <w:spacing w:line="560" w:lineRule="exact"/>
        <w:ind w:firstLine="2690" w:firstLineChars="1000"/>
        <w:jc w:val="distribute"/>
        <w:textAlignment w:val="auto"/>
        <w:rPr>
          <w:rFonts w:hint="default" w:eastAsia="仿宋_GB2312"/>
          <w:spacing w:val="-6"/>
          <w:w w:val="88"/>
          <w:kern w:val="0"/>
          <w:sz w:val="32"/>
          <w:lang w:val="en-US" w:eastAsia="zh-CN"/>
        </w:rPr>
      </w:pPr>
      <w:r>
        <w:rPr>
          <w:rFonts w:hint="eastAsia"/>
          <w:spacing w:val="-6"/>
          <w:w w:val="88"/>
          <w:kern w:val="0"/>
          <w:sz w:val="32"/>
          <w:lang w:val="en-US" w:eastAsia="zh-CN"/>
        </w:rPr>
        <w:t xml:space="preserve"> </w:t>
      </w:r>
      <w:r>
        <w:rPr>
          <w:rFonts w:hint="eastAsia"/>
          <w:spacing w:val="-6"/>
          <w:w w:val="88"/>
          <w:kern w:val="0"/>
          <w:sz w:val="32"/>
        </w:rPr>
        <w:t>新疆维吾尔自治区人民政府</w:t>
      </w:r>
      <w:r>
        <w:rPr>
          <w:rFonts w:hint="eastAsia"/>
          <w:spacing w:val="-6"/>
          <w:w w:val="88"/>
          <w:kern w:val="0"/>
          <w:sz w:val="32"/>
          <w:lang w:val="en-US" w:eastAsia="zh-CN"/>
        </w:rPr>
        <w:t>参事室（文史研究馆）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Style w:val="10"/>
          <w:rFonts w:ascii="仿宋_GB2312" w:hAnsi="仿宋_GB2312" w:cs="仿宋_GB2312"/>
        </w:rPr>
      </w:pPr>
      <w:r>
        <w:rPr>
          <w:rFonts w:hint="eastAsia" w:ascii="仿宋_GB2312" w:hAnsi="仿宋_GB2312"/>
          <w:kern w:val="0"/>
        </w:rPr>
        <w:t>填报时间：</w:t>
      </w:r>
      <w:r>
        <w:rPr>
          <w:rStyle w:val="10"/>
          <w:rFonts w:hint="eastAsia" w:cs="仿宋_GB2312"/>
          <w:b w:val="0"/>
          <w:bCs w:val="0"/>
          <w:spacing w:val="-6"/>
        </w:rPr>
        <w:t>202</w:t>
      </w:r>
      <w:r>
        <w:rPr>
          <w:rStyle w:val="10"/>
          <w:rFonts w:hint="eastAsia" w:cs="仿宋_GB2312"/>
          <w:b w:val="0"/>
          <w:bCs w:val="0"/>
          <w:spacing w:val="-6"/>
          <w:lang w:val="en-US" w:eastAsia="zh-CN"/>
        </w:rPr>
        <w:t>6</w:t>
      </w:r>
      <w:r>
        <w:rPr>
          <w:rStyle w:val="10"/>
          <w:rFonts w:hint="eastAsia" w:cs="仿宋_GB2312"/>
          <w:b w:val="0"/>
          <w:bCs w:val="0"/>
          <w:spacing w:val="-6"/>
        </w:rPr>
        <w:t>年</w:t>
      </w:r>
      <w:r>
        <w:rPr>
          <w:rStyle w:val="10"/>
          <w:rFonts w:hint="eastAsia" w:cs="仿宋_GB2312"/>
          <w:b w:val="0"/>
          <w:bCs w:val="0"/>
          <w:spacing w:val="-6"/>
          <w:lang w:val="en-US" w:eastAsia="zh-CN"/>
        </w:rPr>
        <w:t>3</w:t>
      </w:r>
      <w:r>
        <w:rPr>
          <w:rStyle w:val="10"/>
          <w:rFonts w:hint="eastAsia" w:cs="仿宋_GB2312"/>
          <w:b w:val="0"/>
          <w:bCs w:val="0"/>
          <w:spacing w:val="-6"/>
        </w:rPr>
        <w:t>月</w:t>
      </w:r>
      <w:r>
        <w:rPr>
          <w:rStyle w:val="10"/>
          <w:rFonts w:hint="eastAsia" w:cs="仿宋_GB2312"/>
          <w:b w:val="0"/>
          <w:bCs w:val="0"/>
          <w:spacing w:val="-6"/>
          <w:lang w:val="en-US" w:eastAsia="zh-CN"/>
        </w:rPr>
        <w:t>27</w:t>
      </w:r>
      <w:r>
        <w:rPr>
          <w:rStyle w:val="10"/>
          <w:rFonts w:hint="eastAsia" w:cs="仿宋_GB2312"/>
          <w:b w:val="0"/>
          <w:bCs w:val="0"/>
          <w:spacing w:val="-6"/>
        </w:rPr>
        <w:t>日</w:t>
      </w:r>
    </w:p>
    <w:p>
      <w:pPr>
        <w:pageBreakBefore w:val="0"/>
        <w:kinsoku/>
        <w:wordWrap/>
        <w:overflowPunct/>
        <w:topLinePunct w:val="0"/>
        <w:autoSpaceDE/>
        <w:autoSpaceDN/>
        <w:bidi w:val="0"/>
        <w:adjustRightInd/>
        <w:snapToGrid/>
        <w:spacing w:line="560" w:lineRule="exact"/>
        <w:textAlignment w:val="auto"/>
        <w:rPr>
          <w:rStyle w:val="10"/>
          <w:rFonts w:hint="eastAsia" w:ascii="黑体" w:hAnsi="黑体" w:eastAsia="黑体"/>
          <w:b w:val="0"/>
        </w:rPr>
      </w:pPr>
    </w:p>
    <w:p>
      <w:pPr>
        <w:pageBreakBefore w:val="0"/>
        <w:kinsoku/>
        <w:wordWrap/>
        <w:overflowPunct/>
        <w:topLinePunct w:val="0"/>
        <w:autoSpaceDE/>
        <w:autoSpaceDN/>
        <w:bidi w:val="0"/>
        <w:adjustRightInd/>
        <w:snapToGrid/>
        <w:spacing w:line="560" w:lineRule="exact"/>
        <w:ind w:firstLine="624" w:firstLineChars="200"/>
        <w:textAlignment w:val="auto"/>
        <w:rPr>
          <w:rStyle w:val="10"/>
          <w:rFonts w:hint="eastAsia" w:ascii="黑体" w:hAnsi="黑体" w:eastAsia="黑体"/>
          <w:b w:val="0"/>
        </w:rPr>
      </w:pP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24" w:firstLineChars="200"/>
        <w:textAlignment w:val="auto"/>
        <w:rPr>
          <w:rStyle w:val="10"/>
          <w:rFonts w:hint="eastAsia" w:ascii="黑体" w:hAnsi="黑体" w:eastAsia="黑体"/>
          <w:b w:val="0"/>
        </w:rPr>
        <w:sectPr>
          <w:pgSz w:w="11906" w:h="16838"/>
          <w:pgMar w:top="2098" w:right="1474" w:bottom="1984" w:left="1474" w:header="851" w:footer="1417" w:gutter="0"/>
          <w:pgBorders w:offsetFrom="page">
            <w:top w:val="none" w:sz="0" w:space="0"/>
            <w:left w:val="none" w:sz="0" w:space="0"/>
            <w:bottom w:val="none" w:sz="0" w:space="0"/>
            <w:right w:val="none" w:sz="0" w:space="0"/>
          </w:pgBorders>
          <w:pgNumType w:fmt="numberInDash" w:start="1"/>
          <w:cols w:space="0" w:num="1"/>
          <w:rtlGutter w:val="0"/>
          <w:docGrid w:type="linesAndChars" w:linePitch="579" w:charSpace="0"/>
        </w:sectPr>
      </w:pP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24" w:firstLineChars="200"/>
        <w:textAlignment w:val="auto"/>
        <w:rPr>
          <w:rStyle w:val="10"/>
          <w:rFonts w:ascii="黑体" w:hAnsi="黑体" w:eastAsia="黑体"/>
          <w:b w:val="0"/>
        </w:rPr>
      </w:pPr>
      <w:r>
        <w:rPr>
          <w:rStyle w:val="10"/>
          <w:rFonts w:hint="eastAsia" w:ascii="黑体" w:hAnsi="黑体" w:eastAsia="黑体"/>
          <w:b w:val="0"/>
        </w:rPr>
        <w:t>一、基本情况</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rPr>
      </w:pPr>
      <w:r>
        <w:rPr>
          <w:rStyle w:val="10"/>
          <w:rFonts w:hint="eastAsia" w:ascii="楷体_GB2312" w:hAnsi="楷体_GB2312" w:eastAsia="楷体_GB2312" w:cs="楷体_GB2312"/>
          <w:b w:val="0"/>
          <w:bCs w:val="0"/>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pPr>
      <w:r>
        <w:rPr>
          <w:rFonts w:hint="eastAsia"/>
        </w:rPr>
        <w:t>1.项目背景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202</w:t>
      </w:r>
      <w:r>
        <w:rPr>
          <w:rFonts w:hint="eastAsia" w:ascii="Times New Roman" w:hAnsi="Times New Roman"/>
          <w:lang w:val="en-US" w:eastAsia="zh-CN"/>
        </w:rPr>
        <w:t>5</w:t>
      </w:r>
      <w:r>
        <w:rPr>
          <w:rFonts w:hint="eastAsia" w:ascii="Times New Roman" w:hAnsi="Times New Roman"/>
        </w:rPr>
        <w:t>年，在自治区党委、自治区人民政府的正确领导下，在自治区财政厅的指导帮助下，自治区人民政府研究室</w:t>
      </w:r>
      <w:r>
        <w:rPr>
          <w:rFonts w:hint="eastAsia" w:ascii="Times New Roman" w:hAnsi="Times New Roman"/>
          <w:lang w:eastAsia="zh-CN"/>
        </w:rPr>
        <w:t>、</w:t>
      </w:r>
      <w:r>
        <w:rPr>
          <w:rFonts w:hint="eastAsia" w:ascii="Times New Roman" w:hAnsi="Times New Roman"/>
          <w:lang w:val="en-US" w:eastAsia="zh-CN"/>
        </w:rPr>
        <w:t>参事室（文史研究馆）</w:t>
      </w:r>
      <w:r>
        <w:rPr>
          <w:rFonts w:hint="eastAsia" w:ascii="Times New Roman" w:hAnsi="Times New Roman"/>
        </w:rPr>
        <w:t>深入贯彻落实党中央、国务院关于全面实施预算绩效管理的决策部署和自治区党委、自治区人民政府工作要求，全面加强预算绩效管理，提升资金使用质效，切实把预算绩效管理落实到工作中。为切实履行“</w:t>
      </w:r>
      <w:r>
        <w:rPr>
          <w:rFonts w:hint="eastAsia" w:ascii="Times New Roman" w:hAnsi="Times New Roman"/>
          <w:lang w:eastAsia="zh-CN"/>
        </w:rPr>
        <w:t>围绕自治区人民政府中心工作，组织参与经济社会发展重大问题调查研究，提出政策建议和咨询意见；负责组织起草《政府工作报告》，组织参与起草、修改政府重要文件、政府主要领导讲话等文稿；指导自治区人民政府各部门和地（州、市）人民政府（</w:t>
      </w:r>
      <w:r>
        <w:rPr>
          <w:rFonts w:hint="eastAsia" w:ascii="Times New Roman" w:hAnsi="Times New Roman"/>
          <w:lang w:val="en-US" w:eastAsia="zh-CN"/>
        </w:rPr>
        <w:t>行政公署）的</w:t>
      </w:r>
      <w:r>
        <w:rPr>
          <w:rFonts w:hint="eastAsia" w:ascii="Times New Roman" w:hAnsi="Times New Roman"/>
          <w:lang w:eastAsia="zh-CN"/>
        </w:rPr>
        <w:t>调查研究和决策咨询工作；搜集、整理、分析国内外理论研究动态、典型经验和经济社会发展信息，为政府领导决策提供参考；</w:t>
      </w:r>
      <w:r>
        <w:rPr>
          <w:rFonts w:hint="eastAsia" w:ascii="Times New Roman" w:hAnsi="Times New Roman"/>
          <w:lang w:val="en-US" w:eastAsia="zh-CN"/>
        </w:rPr>
        <w:t>联络、组织、协调参事、馆员参政议政、咨询国是、调查研究、建言献策、民主监督，开展统战联谊、文史研究、艺术创作、对外文化交流工作</w:t>
      </w:r>
      <w:r>
        <w:rPr>
          <w:rFonts w:hint="eastAsia" w:ascii="Times New Roman" w:hAnsi="Times New Roman"/>
        </w:rPr>
        <w:t>”等职责，</w:t>
      </w:r>
      <w:r>
        <w:rPr>
          <w:rFonts w:hint="eastAsia" w:ascii="Times New Roman" w:hAnsi="Times New Roman"/>
          <w:lang w:val="en-US" w:eastAsia="zh-CN"/>
        </w:rPr>
        <w:t>深入开展调查研究，形成课题成果为自治区经济社会高质量发展和主要领导决策提供有效支撑</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2.主要内容及实施情况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2025年</w:t>
      </w:r>
      <w:r>
        <w:rPr>
          <w:rFonts w:hint="eastAsia" w:ascii="Times New Roman" w:hAnsi="Times New Roman"/>
        </w:rPr>
        <w:t>根据自治区</w:t>
      </w:r>
      <w:r>
        <w:rPr>
          <w:rFonts w:hint="eastAsia" w:ascii="Times New Roman" w:hAnsi="Times New Roman"/>
          <w:lang w:val="en-US" w:eastAsia="zh-CN"/>
        </w:rPr>
        <w:t>人民政府领导指示</w:t>
      </w:r>
      <w:r>
        <w:rPr>
          <w:rFonts w:hint="eastAsia" w:ascii="Times New Roman" w:hAnsi="Times New Roman"/>
        </w:rPr>
        <w:t>要求，围绕自治区人民政府中心工作</w:t>
      </w:r>
      <w:r>
        <w:rPr>
          <w:rFonts w:hint="eastAsia" w:ascii="Times New Roman" w:hAnsi="Times New Roman"/>
          <w:lang w:eastAsia="zh-CN"/>
        </w:rPr>
        <w:t>，</w:t>
      </w:r>
      <w:r>
        <w:rPr>
          <w:rFonts w:hint="eastAsia" w:ascii="Times New Roman" w:hAnsi="Times New Roman"/>
          <w:lang w:val="en-US" w:eastAsia="zh-CN"/>
        </w:rPr>
        <w:t>开展</w:t>
      </w:r>
      <w:r>
        <w:rPr>
          <w:rFonts w:hint="eastAsia" w:ascii="Times New Roman" w:hAnsi="Times New Roman"/>
        </w:rPr>
        <w:t>关于</w:t>
      </w:r>
      <w:r>
        <w:rPr>
          <w:rFonts w:hint="default" w:ascii="Times New Roman" w:hAnsi="Times New Roman"/>
        </w:rPr>
        <w:t>冰雪经济</w:t>
      </w:r>
      <w:r>
        <w:rPr>
          <w:rFonts w:hint="eastAsia" w:ascii="Times New Roman" w:hAnsi="Times New Roman"/>
          <w:lang w:eastAsia="zh-CN"/>
        </w:rPr>
        <w:t>、</w:t>
      </w:r>
      <w:r>
        <w:rPr>
          <w:rFonts w:hint="default" w:ascii="Times New Roman" w:hAnsi="Times New Roman"/>
        </w:rPr>
        <w:t>绿电直供</w:t>
      </w:r>
      <w:r>
        <w:rPr>
          <w:rFonts w:hint="eastAsia" w:ascii="Times New Roman" w:hAnsi="Times New Roman"/>
          <w:lang w:eastAsia="zh-CN"/>
        </w:rPr>
        <w:t>、</w:t>
      </w:r>
      <w:r>
        <w:rPr>
          <w:rFonts w:hint="default" w:ascii="Times New Roman" w:hAnsi="Times New Roman"/>
        </w:rPr>
        <w:t>新姿源生物</w:t>
      </w:r>
      <w:r>
        <w:rPr>
          <w:rFonts w:hint="eastAsia" w:ascii="Times New Roman" w:hAnsi="Times New Roman"/>
          <w:lang w:eastAsia="zh-CN"/>
        </w:rPr>
        <w:t>、</w:t>
      </w:r>
      <w:r>
        <w:rPr>
          <w:rFonts w:hint="default" w:ascii="Times New Roman" w:hAnsi="Times New Roman"/>
        </w:rPr>
        <w:t>供水工程</w:t>
      </w:r>
      <w:r>
        <w:rPr>
          <w:rFonts w:hint="eastAsia" w:ascii="Times New Roman" w:hAnsi="Times New Roman"/>
          <w:lang w:eastAsia="zh-CN"/>
        </w:rPr>
        <w:t>、</w:t>
      </w:r>
      <w:r>
        <w:rPr>
          <w:rFonts w:hint="default" w:ascii="Times New Roman" w:hAnsi="Times New Roman"/>
        </w:rPr>
        <w:t>黄金产业</w:t>
      </w:r>
      <w:r>
        <w:rPr>
          <w:rFonts w:hint="eastAsia" w:ascii="Times New Roman" w:hAnsi="Times New Roman"/>
          <w:lang w:eastAsia="zh-CN"/>
        </w:rPr>
        <w:t>、</w:t>
      </w:r>
      <w:r>
        <w:rPr>
          <w:rFonts w:hint="default" w:ascii="Times New Roman" w:hAnsi="Times New Roman"/>
        </w:rPr>
        <w:t>南疆高质量对外开放</w:t>
      </w:r>
      <w:r>
        <w:rPr>
          <w:rFonts w:hint="eastAsia" w:ascii="Times New Roman" w:hAnsi="Times New Roman"/>
          <w:lang w:val="en-US" w:eastAsia="zh-CN"/>
        </w:rPr>
        <w:t>等新疆经济社会发展的重点产业、重点领域课题研究；开展</w:t>
      </w:r>
      <w:r>
        <w:rPr>
          <w:rFonts w:hint="default" w:ascii="Times New Roman" w:hAnsi="Times New Roman"/>
          <w:lang w:val="en-US" w:eastAsia="zh-CN"/>
        </w:rPr>
        <w:t>自治区202</w:t>
      </w:r>
      <w:r>
        <w:rPr>
          <w:rFonts w:hint="eastAsia" w:ascii="Times New Roman" w:hAnsi="Times New Roman"/>
          <w:lang w:val="en-US" w:eastAsia="zh-CN"/>
        </w:rPr>
        <w:t>5</w:t>
      </w:r>
      <w:r>
        <w:rPr>
          <w:rFonts w:hint="default" w:ascii="Times New Roman" w:hAnsi="Times New Roman"/>
          <w:lang w:val="en-US" w:eastAsia="zh-CN"/>
        </w:rPr>
        <w:t>年《政府工作报告》起草</w:t>
      </w:r>
      <w:r>
        <w:rPr>
          <w:rFonts w:hint="eastAsia" w:ascii="Times New Roman" w:hAnsi="Times New Roman"/>
          <w:lang w:val="en-US" w:eastAsia="zh-CN"/>
        </w:rPr>
        <w:t>工作；</w:t>
      </w:r>
      <w:r>
        <w:rPr>
          <w:rFonts w:hint="default" w:ascii="Times New Roman" w:hAnsi="Times New Roman"/>
          <w:lang w:val="en-US" w:eastAsia="zh-CN"/>
        </w:rPr>
        <w:t>开展自治区经济运行分析</w:t>
      </w:r>
      <w:r>
        <w:rPr>
          <w:rFonts w:hint="eastAsia" w:ascii="Times New Roman" w:hAnsi="Times New Roman"/>
          <w:lang w:val="en-US" w:eastAsia="zh-CN"/>
        </w:rPr>
        <w:t>；</w:t>
      </w:r>
      <w:r>
        <w:rPr>
          <w:rFonts w:hint="default" w:ascii="Times New Roman" w:hAnsi="Times New Roman"/>
          <w:lang w:val="en-US" w:eastAsia="zh-CN"/>
        </w:rPr>
        <w:t>协同推进自治区民生实事</w:t>
      </w:r>
      <w:r>
        <w:rPr>
          <w:rFonts w:hint="eastAsia" w:ascii="Times New Roman" w:hAnsi="Times New Roman"/>
          <w:lang w:val="en-US" w:eastAsia="zh-CN"/>
        </w:rPr>
        <w:t>等</w:t>
      </w:r>
      <w:r>
        <w:rPr>
          <w:rFonts w:hint="default" w:ascii="Times New Roman" w:hAnsi="Times New Roman"/>
          <w:lang w:val="en-US" w:eastAsia="zh-CN"/>
        </w:rPr>
        <w:t>工作</w:t>
      </w:r>
      <w:r>
        <w:rPr>
          <w:rFonts w:hint="eastAsia" w:ascii="Times New Roman" w:hAnsi="Times New Roman"/>
          <w:lang w:val="en-US" w:eastAsia="zh-CN"/>
        </w:rPr>
        <w:t>；举办书画摄影作品展等。以上内容年内均实施完毕。</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3.资金投入和使用情况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202</w:t>
      </w:r>
      <w:r>
        <w:rPr>
          <w:rFonts w:hint="eastAsia" w:ascii="Times New Roman" w:hAnsi="Times New Roman"/>
          <w:lang w:val="en-US" w:eastAsia="zh-CN"/>
        </w:rPr>
        <w:t>5</w:t>
      </w:r>
      <w:r>
        <w:rPr>
          <w:rFonts w:hint="eastAsia" w:ascii="Times New Roman" w:hAnsi="Times New Roman"/>
        </w:rPr>
        <w:t>年</w:t>
      </w:r>
      <w:r>
        <w:rPr>
          <w:rFonts w:hint="eastAsia" w:ascii="Times New Roman" w:hAnsi="Times New Roman"/>
          <w:lang w:val="en-US" w:eastAsia="zh-CN"/>
        </w:rPr>
        <w:t>此项目投入</w:t>
      </w:r>
      <w:r>
        <w:rPr>
          <w:rFonts w:hint="eastAsia" w:ascii="Times New Roman" w:hAnsi="Times New Roman"/>
        </w:rPr>
        <w:t>经费</w:t>
      </w:r>
      <w:r>
        <w:rPr>
          <w:rFonts w:hint="eastAsia" w:ascii="Times New Roman" w:hAnsi="Times New Roman"/>
          <w:lang w:val="en-US" w:eastAsia="zh-CN"/>
        </w:rPr>
        <w:t>283</w:t>
      </w:r>
      <w:r>
        <w:rPr>
          <w:rFonts w:hint="eastAsia" w:ascii="Times New Roman" w:hAnsi="Times New Roman"/>
        </w:rPr>
        <w:t>万元，均用于保障此项目的</w:t>
      </w:r>
      <w:r>
        <w:rPr>
          <w:rFonts w:hint="eastAsia" w:ascii="Times New Roman" w:hAnsi="Times New Roman"/>
          <w:lang w:val="en-US" w:eastAsia="zh-CN"/>
        </w:rPr>
        <w:t>正常</w:t>
      </w:r>
      <w:r>
        <w:rPr>
          <w:rFonts w:hint="eastAsia" w:ascii="Times New Roman" w:hAnsi="Times New Roman"/>
        </w:rPr>
        <w:t>开展，年终实际执行</w:t>
      </w:r>
      <w:r>
        <w:rPr>
          <w:rFonts w:hint="eastAsia" w:ascii="Times New Roman" w:hAnsi="Times New Roman"/>
          <w:lang w:val="en-US" w:eastAsia="zh-CN"/>
        </w:rPr>
        <w:t>281.13</w:t>
      </w:r>
      <w:r>
        <w:rPr>
          <w:rFonts w:hint="eastAsia" w:ascii="Times New Roman" w:hAnsi="Times New Roman"/>
        </w:rPr>
        <w:t>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rPr>
      </w:pPr>
      <w:r>
        <w:rPr>
          <w:rStyle w:val="10"/>
          <w:rFonts w:hint="eastAsia" w:ascii="楷体_GB2312" w:hAnsi="楷体_GB2312" w:eastAsia="楷体_GB2312" w:cs="楷体_GB2312"/>
          <w:b w:val="0"/>
          <w:bCs w:val="0"/>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lang w:val="en-US" w:eastAsia="zh-CN"/>
        </w:rPr>
        <w:t>总体目标：</w:t>
      </w:r>
      <w:r>
        <w:rPr>
          <w:rFonts w:hint="eastAsia" w:ascii="Times New Roman" w:hAnsi="Times New Roman"/>
        </w:rPr>
        <w:t>如期完成《政府工作报告》《关于促进南疆高质量发展的若干政策措施》等重要文件起草工作</w:t>
      </w:r>
      <w:r>
        <w:rPr>
          <w:rFonts w:hint="eastAsia" w:ascii="Times New Roman" w:hAnsi="Times New Roman"/>
          <w:lang w:eastAsia="zh-CN"/>
        </w:rPr>
        <w:t>；</w:t>
      </w:r>
      <w:r>
        <w:rPr>
          <w:rFonts w:hint="eastAsia" w:ascii="Times New Roman" w:hAnsi="Times New Roman"/>
        </w:rPr>
        <w:t>高标准完成政府主要领导关于经济工作的专题讲话等重要文稿起草工作</w:t>
      </w:r>
      <w:r>
        <w:rPr>
          <w:rFonts w:hint="eastAsia" w:ascii="Times New Roman" w:hAnsi="Times New Roman"/>
          <w:lang w:eastAsia="zh-CN"/>
        </w:rPr>
        <w:t>；</w:t>
      </w:r>
      <w:r>
        <w:rPr>
          <w:rFonts w:hint="eastAsia" w:ascii="Times New Roman" w:hAnsi="Times New Roman"/>
        </w:rPr>
        <w:t>有序推进民生实事、经济运行分析等重点工作，研究起草2025年一季度、上半年、前三季度经济运行分析报告及高质量完成我区经济社会高质量发展综合调研报告10余篇；政策研究和信息咨询服务工作取得新进展，编印《调查研究（专报）》《决策参阅》《政策动态研究》；完成自治区政府系统重要文稿审核工作；成功举办喜迎自治区成立70周年政府文史馆员书画摄影作品展；联络、组织、协调参事、馆员完成参政议政、咨询国是、调查研究、建言献策、民主监督，开展统战联谊、文史研究、艺术创作、对外文化交流工作；积极开展党建活动，完成保密及档案管理科学化、制度化、规范化建设。</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default" w:ascii="Times New Roman" w:hAnsi="Times New Roman"/>
          <w:lang w:val="en-US" w:eastAsia="zh-CN"/>
        </w:rPr>
      </w:pPr>
      <w:r>
        <w:rPr>
          <w:rFonts w:hint="eastAsia" w:ascii="Times New Roman" w:hAnsi="Times New Roman"/>
          <w:lang w:val="en-US" w:eastAsia="zh-CN"/>
        </w:rPr>
        <w:t>阶段性目标：第一阶段（1—2月），建立课题库，明确重点调研方向，至少涵盖15个领域的重点难点问题，并完成立项；完成《政府工作报告》撰写、提交等工作；组建调研团队，划分责任处室，拟定调研方式方法，细化责任分工到人。第二阶段（3—11月）针对已立项课题，至少开展28次调研活动，完成至少20篇重点重大课题调研报告的撰写，报告内容完整、逻辑清晰；深入分析问题，至少向自治区人民政府领导提出20条建议。第三阶段（12月）对全年调研工作进行总结，分析调研成果转化情况，完成年度调研工作总结报告；整理全年信息简报和调研成果，汇编成册，为下一年度调研工作提供参考。</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b w:val="0"/>
        </w:rPr>
      </w:pPr>
      <w:r>
        <w:rPr>
          <w:rStyle w:val="10"/>
          <w:rFonts w:hint="eastAsia" w:ascii="黑体" w:hAnsi="黑体" w:eastAsia="黑体"/>
          <w:b w:val="0"/>
          <w:bCs w:val="0"/>
        </w:rPr>
        <w:t>二、绩效评价工作开展情况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楷体" w:hAnsi="楷体" w:eastAsia="楷体"/>
        </w:rPr>
      </w:pPr>
      <w:r>
        <w:rPr>
          <w:rStyle w:val="10"/>
          <w:rFonts w:hint="eastAsia" w:ascii="楷体_GB2312" w:hAnsi="楷体_GB2312" w:eastAsia="楷体_GB2312" w:cs="楷体_GB2312"/>
          <w:b w:val="0"/>
          <w:bCs w:val="0"/>
        </w:rPr>
        <w:t>（一）绩效评价目的、对象和范围</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 xml:space="preserve"> 1. 绩效评价的目的：一是了解各项目资金使用情况和取得的成效，总结项目资金管理经验，进一步加强和规范项目资金管理，用有限的资金取得最大的效益，完善项目和资金的管理办法，为指导预算编制和申报绩效目标、优化支出结构提供参考和依据。二是通过对202</w:t>
      </w:r>
      <w:r>
        <w:rPr>
          <w:rFonts w:hint="eastAsia" w:ascii="Times New Roman" w:hAnsi="Times New Roman"/>
          <w:lang w:val="en-US" w:eastAsia="zh-CN"/>
        </w:rPr>
        <w:t>5</w:t>
      </w:r>
      <w:r>
        <w:rPr>
          <w:rFonts w:hint="eastAsia" w:ascii="Times New Roman" w:hAnsi="Times New Roman"/>
        </w:rPr>
        <w:t>年项目</w:t>
      </w:r>
      <w:r>
        <w:rPr>
          <w:rFonts w:hint="eastAsia" w:ascii="Times New Roman" w:hAnsi="Times New Roman"/>
          <w:lang w:val="en-US" w:eastAsia="zh-CN"/>
        </w:rPr>
        <w:t>支出</w:t>
      </w:r>
      <w:r>
        <w:rPr>
          <w:rFonts w:hint="eastAsia" w:ascii="Times New Roman" w:hAnsi="Times New Roman"/>
        </w:rPr>
        <w:t>绩效评价，进一步提高财政资金使用效益，合理分配财政资金。通过项目资金绩效</w:t>
      </w:r>
      <w:r>
        <w:rPr>
          <w:rFonts w:hint="eastAsia" w:ascii="Times New Roman" w:hAnsi="Times New Roman"/>
          <w:lang w:val="en-US" w:eastAsia="zh-CN"/>
        </w:rPr>
        <w:t>评价</w:t>
      </w:r>
      <w:r>
        <w:rPr>
          <w:rFonts w:hint="eastAsia" w:ascii="Times New Roman" w:hAnsi="Times New Roman"/>
        </w:rPr>
        <w:t>，全面、客观地反映专项工作执行情况，综合评价专项资金支出效率和效果，同时总结经验，分析存在的问题及原因，提出对策建议。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2.绩效评价对象和范围：本次绩效评价的对象为</w:t>
      </w:r>
      <w:r>
        <w:rPr>
          <w:rFonts w:hint="eastAsia" w:ascii="Times New Roman" w:hAnsi="Times New Roman"/>
          <w:lang w:eastAsia="zh-CN"/>
        </w:rPr>
        <w:t>“</w:t>
      </w:r>
      <w:r>
        <w:rPr>
          <w:rFonts w:hint="eastAsia" w:ascii="Times New Roman" w:hAnsi="Times New Roman"/>
        </w:rPr>
        <w:t>新疆维吾尔自治区人民政府研究室</w:t>
      </w:r>
      <w:r>
        <w:rPr>
          <w:rFonts w:hint="eastAsia" w:ascii="Times New Roman" w:hAnsi="Times New Roman"/>
          <w:lang w:eastAsia="zh-CN"/>
        </w:rPr>
        <w:t>、</w:t>
      </w:r>
      <w:r>
        <w:rPr>
          <w:rFonts w:hint="eastAsia" w:ascii="Times New Roman" w:hAnsi="Times New Roman"/>
          <w:lang w:val="en-US" w:eastAsia="zh-CN"/>
        </w:rPr>
        <w:t>参事室（文史研究馆）</w:t>
      </w:r>
      <w:r>
        <w:rPr>
          <w:rFonts w:hint="eastAsia" w:ascii="Times New Roman" w:hAnsi="Times New Roman"/>
        </w:rPr>
        <w:t>项目经费</w:t>
      </w:r>
      <w:r>
        <w:rPr>
          <w:rFonts w:hint="eastAsia" w:ascii="Times New Roman" w:hAnsi="Times New Roman"/>
          <w:lang w:eastAsia="zh-CN"/>
        </w:rPr>
        <w:t>”</w:t>
      </w:r>
      <w:r>
        <w:rPr>
          <w:rFonts w:hint="eastAsia" w:ascii="Times New Roman" w:hAnsi="Times New Roman"/>
        </w:rPr>
        <w:t>，此项目预算总额为</w:t>
      </w:r>
      <w:r>
        <w:rPr>
          <w:rFonts w:hint="eastAsia" w:ascii="Times New Roman" w:hAnsi="Times New Roman"/>
          <w:lang w:val="en-US" w:eastAsia="zh-CN"/>
        </w:rPr>
        <w:t>283</w:t>
      </w:r>
      <w:r>
        <w:rPr>
          <w:rFonts w:hint="eastAsia" w:ascii="Times New Roman" w:hAnsi="Times New Roman"/>
        </w:rPr>
        <w:t>万元。评价范围包括重大课题研究完成情况，起草重点课题报告完成数量、质量</w:t>
      </w:r>
      <w:r>
        <w:rPr>
          <w:rFonts w:hint="eastAsia" w:ascii="Times New Roman" w:hAnsi="Times New Roman"/>
          <w:lang w:eastAsia="zh-CN"/>
        </w:rPr>
        <w:t>、</w:t>
      </w:r>
      <w:r>
        <w:rPr>
          <w:rFonts w:hint="eastAsia" w:ascii="Times New Roman" w:hAnsi="Times New Roman"/>
        </w:rPr>
        <w:t>及时情况，向自治区人民政府领导提出推动经济、社会发展建议数量及</w:t>
      </w:r>
      <w:r>
        <w:rPr>
          <w:rFonts w:hint="eastAsia" w:ascii="Times New Roman" w:hAnsi="Times New Roman"/>
          <w:lang w:val="en-US" w:eastAsia="zh-CN"/>
        </w:rPr>
        <w:t>采纳</w:t>
      </w:r>
      <w:r>
        <w:rPr>
          <w:rFonts w:hint="eastAsia" w:ascii="Times New Roman" w:hAnsi="Times New Roman"/>
        </w:rPr>
        <w:t>情况</w:t>
      </w:r>
      <w:r>
        <w:rPr>
          <w:rFonts w:hint="eastAsia" w:ascii="Times New Roman" w:hAnsi="Times New Roman"/>
          <w:lang w:eastAsia="zh-CN"/>
        </w:rPr>
        <w:t>，</w:t>
      </w:r>
      <w:r>
        <w:rPr>
          <w:rFonts w:hint="eastAsia" w:ascii="Times New Roman" w:hAnsi="Times New Roman"/>
          <w:lang w:val="en-US" w:eastAsia="zh-CN"/>
        </w:rPr>
        <w:t>政府参事、文史馆员满意情况</w:t>
      </w:r>
      <w:r>
        <w:rPr>
          <w:rFonts w:hint="eastAsia" w:ascii="Times New Roman" w:hAnsi="Times New Roman"/>
        </w:rPr>
        <w:t>等。</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rPr>
      </w:pPr>
      <w:r>
        <w:rPr>
          <w:rStyle w:val="10"/>
          <w:rFonts w:hint="eastAsia" w:ascii="楷体_GB2312" w:hAnsi="楷体_GB2312" w:eastAsia="楷体_GB2312" w:cs="楷体_GB2312"/>
          <w:b w:val="0"/>
          <w:bCs w:val="0"/>
        </w:rPr>
        <w:t>（二）绩效评价原则、评价指标体系、评价方法、评价标准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1.绩效评价原则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lang w:val="en-US" w:eastAsia="zh-CN"/>
        </w:rPr>
        <w:t>我</w:t>
      </w:r>
      <w:r>
        <w:rPr>
          <w:rFonts w:hint="eastAsia" w:ascii="Times New Roman" w:hAnsi="Times New Roman"/>
        </w:rPr>
        <w:t>室项目绩效评价遵循以下原则：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（1）科学规范原则；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（2）公正公开原则；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（3）分级分类原则；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（4）绩效相关原则。</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rPr>
      </w:pPr>
      <w:r>
        <w:rPr>
          <w:rFonts w:hint="eastAsia" w:ascii="Times New Roman" w:hAnsi="Times New Roman"/>
        </w:rPr>
        <w:t>根据财政部《项目支出绩效评价管理办法》（财预</w:t>
      </w:r>
      <w:r>
        <w:rPr>
          <w:rFonts w:hint="eastAsia" w:ascii="Times New Roman" w:hAnsi="Times New Roman" w:eastAsia="仿宋_GB2312" w:cs="仿宋_GB2312"/>
          <w:sz w:val="32"/>
          <w:szCs w:val="32"/>
          <w:lang w:val="en-US" w:eastAsia="zh-CN"/>
        </w:rPr>
        <w:t>〔202</w:t>
      </w:r>
      <w:r>
        <w:rPr>
          <w:rFonts w:hint="eastAsia" w:ascii="Times New Roman" w:hAnsi="Times New Roman" w:cs="仿宋_GB2312"/>
          <w:sz w:val="32"/>
          <w:szCs w:val="32"/>
          <w:lang w:val="en-US" w:eastAsia="zh-CN"/>
        </w:rPr>
        <w:t>0</w:t>
      </w:r>
      <w:r>
        <w:rPr>
          <w:rFonts w:hint="eastAsia" w:ascii="Times New Roman" w:hAnsi="Times New Roman" w:eastAsia="仿宋_GB2312" w:cs="仿宋_GB2312"/>
          <w:sz w:val="32"/>
          <w:szCs w:val="32"/>
          <w:lang w:val="en-US" w:eastAsia="zh-CN"/>
        </w:rPr>
        <w:t>〕</w:t>
      </w:r>
      <w:r>
        <w:rPr>
          <w:rFonts w:hint="eastAsia" w:ascii="Times New Roman" w:hAnsi="Times New Roman"/>
        </w:rPr>
        <w:t>10号）等文件精神，设置了合理可行的评价体系，包括</w:t>
      </w:r>
      <w:r>
        <w:rPr>
          <w:rFonts w:hint="eastAsia" w:ascii="Times New Roman" w:hAnsi="Times New Roman"/>
          <w:lang w:val="en-US" w:eastAsia="zh-CN"/>
        </w:rPr>
        <w:t>决策指标（项目立项指标、绩效目标指标、资金投入指标）过程指标（资金管理指标、组织实施指标）</w:t>
      </w:r>
      <w:r>
        <w:rPr>
          <w:rFonts w:hint="eastAsia" w:ascii="Times New Roman" w:hAnsi="Times New Roman"/>
        </w:rPr>
        <w:t>产出指标（</w:t>
      </w:r>
      <w:r>
        <w:rPr>
          <w:rFonts w:hint="eastAsia" w:ascii="Times New Roman" w:hAnsi="Times New Roman"/>
          <w:lang w:val="en-US" w:eastAsia="zh-CN"/>
        </w:rPr>
        <w:t>产出</w:t>
      </w:r>
      <w:r>
        <w:rPr>
          <w:rFonts w:hint="eastAsia" w:ascii="Times New Roman" w:hAnsi="Times New Roman"/>
        </w:rPr>
        <w:t>数量指标、</w:t>
      </w:r>
      <w:r>
        <w:rPr>
          <w:rFonts w:hint="eastAsia" w:ascii="Times New Roman" w:hAnsi="Times New Roman"/>
          <w:lang w:val="en-US" w:eastAsia="zh-CN"/>
        </w:rPr>
        <w:t>产出</w:t>
      </w:r>
      <w:r>
        <w:rPr>
          <w:rFonts w:hint="eastAsia" w:ascii="Times New Roman" w:hAnsi="Times New Roman"/>
        </w:rPr>
        <w:t>质量指标、</w:t>
      </w:r>
      <w:r>
        <w:rPr>
          <w:rFonts w:hint="eastAsia" w:ascii="Times New Roman" w:hAnsi="Times New Roman"/>
          <w:lang w:val="en-US" w:eastAsia="zh-CN"/>
        </w:rPr>
        <w:t>产出</w:t>
      </w:r>
      <w:r>
        <w:rPr>
          <w:rFonts w:hint="eastAsia" w:ascii="Times New Roman" w:hAnsi="Times New Roman"/>
        </w:rPr>
        <w:t>时效指标、</w:t>
      </w:r>
      <w:r>
        <w:rPr>
          <w:rFonts w:hint="eastAsia" w:ascii="Times New Roman" w:hAnsi="Times New Roman"/>
          <w:lang w:val="en-US" w:eastAsia="zh-CN"/>
        </w:rPr>
        <w:t>产出</w:t>
      </w:r>
      <w:r>
        <w:rPr>
          <w:rFonts w:hint="eastAsia" w:ascii="Times New Roman" w:hAnsi="Times New Roman"/>
        </w:rPr>
        <w:t>成本指标）效益指标（</w:t>
      </w:r>
      <w:r>
        <w:rPr>
          <w:rFonts w:hint="eastAsia" w:ascii="Times New Roman" w:hAnsi="Times New Roman"/>
          <w:lang w:val="en-US" w:eastAsia="zh-CN"/>
        </w:rPr>
        <w:t>实施</w:t>
      </w:r>
      <w:r>
        <w:rPr>
          <w:rFonts w:hint="eastAsia" w:ascii="Times New Roman" w:hAnsi="Times New Roman"/>
        </w:rPr>
        <w:t>效益指标、</w:t>
      </w:r>
      <w:r>
        <w:rPr>
          <w:rFonts w:hint="eastAsia" w:ascii="Times New Roman" w:hAnsi="Times New Roman"/>
          <w:lang w:val="en-US" w:eastAsia="zh-CN"/>
        </w:rPr>
        <w:t>满意度</w:t>
      </w:r>
      <w:r>
        <w:rPr>
          <w:rFonts w:hint="eastAsia" w:ascii="Times New Roman" w:hAnsi="Times New Roman"/>
        </w:rPr>
        <w:t>指标）（详见</w:t>
      </w:r>
      <w:r>
        <w:rPr>
          <w:rFonts w:hint="eastAsia" w:ascii="Times New Roman" w:hAnsi="Times New Roman"/>
          <w:lang w:val="en-US" w:eastAsia="zh-CN"/>
        </w:rPr>
        <w:t>附件1</w:t>
      </w:r>
      <w:r>
        <w:rPr>
          <w:rFonts w:hint="eastAsia" w:ascii="Times New Roman" w:hAnsi="Times New Roman"/>
        </w:rPr>
        <w:t>《</w:t>
      </w:r>
      <w:r>
        <w:rPr>
          <w:rFonts w:hint="eastAsia"/>
          <w:spacing w:val="-6"/>
          <w:sz w:val="32"/>
          <w:lang w:val="en-US" w:eastAsia="zh-CN"/>
        </w:rPr>
        <w:t>自治区人民政府研究室、参事室（文史研究馆）项目支出绩效评价指标体系表</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3.评价方法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本项目绩效评价方法主要采用成本效益分析法、比较法和因素分析法，总分由各项指标得分汇总形成。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4.评价标准</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pacing w:val="-6"/>
          <w:sz w:val="32"/>
        </w:rPr>
      </w:pPr>
      <w:r>
        <w:rPr>
          <w:rFonts w:hint="eastAsia" w:ascii="Times New Roman" w:hAnsi="Times New Roman"/>
        </w:rPr>
        <w:t>本项目绩效评价</w:t>
      </w:r>
      <w:r>
        <w:rPr>
          <w:rFonts w:hint="eastAsia" w:ascii="Times New Roman" w:hAnsi="Times New Roman"/>
          <w:lang w:val="en-US" w:eastAsia="zh-CN"/>
        </w:rPr>
        <w:t>主要</w:t>
      </w:r>
      <w:r>
        <w:rPr>
          <w:rFonts w:hint="eastAsia" w:ascii="Times New Roman" w:hAnsi="Times New Roman"/>
        </w:rPr>
        <w:t>采用计划标准</w:t>
      </w:r>
      <w:r>
        <w:rPr>
          <w:rFonts w:hint="eastAsia"/>
          <w:spacing w:val="-6"/>
          <w:sz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rPr>
      </w:pPr>
      <w:r>
        <w:rPr>
          <w:rStyle w:val="10"/>
          <w:rFonts w:hint="eastAsia" w:ascii="楷体_GB2312" w:hAnsi="楷体_GB2312" w:eastAsia="楷体_GB2312" w:cs="楷体_GB2312"/>
          <w:b w:val="0"/>
          <w:bCs w:val="0"/>
        </w:rPr>
        <w:t>（三）绩效评价工作过程</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lang w:val="en-US" w:eastAsia="zh-CN"/>
        </w:rPr>
        <w:t>我室</w:t>
      </w:r>
      <w:r>
        <w:rPr>
          <w:rFonts w:hint="eastAsia" w:ascii="Times New Roman" w:hAnsi="Times New Roman"/>
        </w:rPr>
        <w:t>高度重视绩效管理工作，严格落实《关于全面实施预算绩效管理的实施意见》（新党发</w:t>
      </w:r>
      <w:r>
        <w:rPr>
          <w:rFonts w:hint="eastAsia" w:ascii="Times New Roman" w:hAnsi="Times New Roman" w:eastAsia="仿宋_GB2312" w:cs="仿宋_GB2312"/>
          <w:sz w:val="32"/>
          <w:szCs w:val="32"/>
          <w:lang w:val="en-US" w:eastAsia="zh-CN"/>
        </w:rPr>
        <w:t>〔20</w:t>
      </w:r>
      <w:r>
        <w:rPr>
          <w:rFonts w:hint="eastAsia" w:ascii="Times New Roman" w:hAnsi="Times New Roman" w:cs="仿宋_GB2312"/>
          <w:sz w:val="32"/>
          <w:szCs w:val="32"/>
          <w:lang w:val="en-US" w:eastAsia="zh-CN"/>
        </w:rPr>
        <w:t>18</w:t>
      </w:r>
      <w:r>
        <w:rPr>
          <w:rFonts w:hint="eastAsia" w:ascii="Times New Roman" w:hAnsi="Times New Roman" w:eastAsia="仿宋_GB2312" w:cs="仿宋_GB2312"/>
          <w:sz w:val="32"/>
          <w:szCs w:val="32"/>
          <w:lang w:val="en-US" w:eastAsia="zh-CN"/>
        </w:rPr>
        <w:t>〕</w:t>
      </w:r>
      <w:r>
        <w:rPr>
          <w:rFonts w:hint="eastAsia" w:ascii="Times New Roman" w:hAnsi="Times New Roman"/>
        </w:rPr>
        <w:t>30号）文件精神，准确把握核心内容，加强绩效监控手段，突出绩效导向作用，将全面绩效管理落实到各项工作之中，有力推动调查研究、</w:t>
      </w:r>
      <w:r>
        <w:rPr>
          <w:rFonts w:hint="eastAsia" w:ascii="Times New Roman" w:hAnsi="Times New Roman"/>
          <w:lang w:val="en-US" w:eastAsia="zh-CN"/>
        </w:rPr>
        <w:t>起草</w:t>
      </w:r>
      <w:r>
        <w:rPr>
          <w:rFonts w:hint="eastAsia" w:ascii="Times New Roman" w:hAnsi="Times New Roman"/>
        </w:rPr>
        <w:t>政府重要文稿等工作的开展。在前期调研的基础上，我们明确了评价的目的、方法、评价原则、指标体系、评价标准等，顺利完成了绩效评价报告工作。具体实施过程如下：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1.数据收集</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收集相关调研、出差附件、出刊报告数量、查看档案、协议合同文件等，为填报所需数据做好准备。</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2.数据填报</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核实相关数据的准确性、</w:t>
      </w:r>
      <w:r>
        <w:rPr>
          <w:rFonts w:hint="eastAsia" w:ascii="Times New Roman" w:hAnsi="Times New Roman"/>
          <w:lang w:val="en-US" w:eastAsia="zh-CN"/>
        </w:rPr>
        <w:t>真实性、</w:t>
      </w:r>
      <w:r>
        <w:rPr>
          <w:rFonts w:hint="eastAsia" w:ascii="Times New Roman" w:hAnsi="Times New Roman"/>
        </w:rPr>
        <w:t>完整性并完成填报。</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rPr>
        <w:t>3.数据分析及撰写报告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rPr>
      </w:pPr>
      <w:r>
        <w:rPr>
          <w:rFonts w:hint="eastAsia" w:ascii="Times New Roman" w:hAnsi="Times New Roman"/>
          <w:lang w:val="en-US" w:eastAsia="zh-CN"/>
        </w:rPr>
        <w:t>填报完成后，再次</w:t>
      </w:r>
      <w:r>
        <w:rPr>
          <w:rFonts w:hint="eastAsia" w:ascii="Times New Roman" w:hAnsi="Times New Roman"/>
        </w:rPr>
        <w:t>对相关数据、资料、文件</w:t>
      </w:r>
      <w:r>
        <w:rPr>
          <w:rFonts w:hint="eastAsia" w:ascii="Times New Roman" w:hAnsi="Times New Roman"/>
          <w:lang w:val="en-US" w:eastAsia="zh-CN"/>
        </w:rPr>
        <w:t>进行核实并</w:t>
      </w:r>
      <w:r>
        <w:rPr>
          <w:rFonts w:hint="eastAsia" w:ascii="Times New Roman" w:hAnsi="Times New Roman"/>
        </w:rPr>
        <w:t>进行综合分析，撰写绩效评价报告。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b w:val="0"/>
          <w:bCs w:val="0"/>
        </w:rPr>
      </w:pPr>
      <w:r>
        <w:rPr>
          <w:rStyle w:val="10"/>
          <w:rFonts w:hint="eastAsia" w:ascii="黑体" w:hAnsi="黑体" w:eastAsia="黑体"/>
          <w:b w:val="0"/>
          <w:bCs w:val="0"/>
        </w:rPr>
        <w:t>三、综合评价情况及评价结论</w:t>
      </w:r>
    </w:p>
    <w:p>
      <w:pPr>
        <w:pStyle w:val="13"/>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（一）综合评价情况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本次项目支出绩效评价严格遵循财政绩效评价相关规定，围绕投入、过程、产出、效益四大维度，采用定量与定性相结合、目标对比与实地核查相结合的方式，对项目立项、资金管理、实施执行、绩效目标完成等情况进行全面综合评价。</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项目立项依据充分、程序合规，紧扣部门核心职能与年度重点工作，绩效目标设定科学、指标清晰可衡量；资金预算编制合理，到位及时、拨付规范，严格执行国库集中支付与财务管理制度，会计核算精准，无挤占、挪用、截留资金及违规支出问题，预算执行率达标，成本管控有效。</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项目实施组织有序、监管到位，严格按计划推进，数量、质量、时效、成本等产出指标全面完成，任务落地见效；社会效益、经济效益指标充分达成，有效提升公共服务水平、保障民生需求、推动履职增效，服务对象满意度符合预期。</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经综合评价，本项目绩效目标完成良好，资金使用规范高效，管理措施到位，实施成效显著，</w:t>
      </w:r>
      <w:bookmarkStart w:id="0" w:name="_GoBack"/>
      <w:bookmarkEnd w:id="0"/>
      <w:r>
        <w:rPr>
          <w:rFonts w:hint="eastAsia" w:ascii="Times New Roman" w:hAnsi="Times New Roman"/>
          <w:lang w:val="en-US" w:eastAsia="zh-CN"/>
        </w:rPr>
        <w:t>实现了“花钱必问效、无效必问责”的绩效管理要求，达到预期绩效目标。</w:t>
      </w:r>
    </w:p>
    <w:p>
      <w:pPr>
        <w:pStyle w:val="13"/>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（二）评价结论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目标完成达标：项目立项依据充分、绩效目标设定科学，数量、质量、时效、成本等产出指标及社会效益、服务对象满意度等指标均圆满完成，核心任务落地见效。</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资金管理合规：严格执行国库集中支付、财务核算及专项资金管理规定，资金拨付及时、使用规范，无挤占、挪用、截留等违规问题，预算执行率符合要求，资金使用效益高效。</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项目管理规范：组织架构健全，实施流程清晰，过程监管、质量管控、风险防控措施到位，项目按计划有序推进，未发生重大安全、质量问题，管理工作规范有序。</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综合效益显著：项目有效履行部门核心职能，切实提升公共服务水平、保障民生需求或推动专项工作落实，产生了良好的经济、社会效益，达到了项目设立的预期目的。</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Times New Roman" w:hAnsi="Times New Roman"/>
          <w:lang w:val="en-US" w:eastAsia="zh-CN"/>
        </w:rPr>
      </w:pPr>
      <w:r>
        <w:rPr>
          <w:rFonts w:hint="eastAsia" w:ascii="Times New Roman" w:hAnsi="Times New Roman"/>
          <w:lang w:val="en-US" w:eastAsia="zh-CN"/>
        </w:rPr>
        <w:t>2025年年内我室此项目预算执行完毕，各绩效目标均已完成，自评综合得分100分，评价结果为“优秀”（详见附件2《自治区人民政府研究室、参事室（文史研究馆）项目支出绩效评价评分表》）。</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cs="黑体"/>
          <w:b w:val="0"/>
          <w:bCs/>
        </w:rPr>
      </w:pPr>
      <w:r>
        <w:rPr>
          <w:rStyle w:val="10"/>
          <w:rFonts w:hint="eastAsia" w:ascii="黑体" w:hAnsi="黑体" w:eastAsia="黑体" w:cs="黑体"/>
          <w:b w:val="0"/>
          <w:bCs/>
        </w:rPr>
        <w:t xml:space="preserve">四、绩效评价指标分析 </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（一）项目决策情况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针对当前我区经济社会发展的重点难点问题及政府主要领导关心关注的问题，经我室各业务处室反复论证，提出课题建议，制定详细的项目实施方案及预算方案，经党组会议集体研究决定后报自治区政府主要领导审定后组织实施，坚持做到财务管理与监督机制相辅相成，使党组决策制度得到严格贯彻落实。</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pPr>
      <w:r>
        <w:rPr>
          <w:rStyle w:val="10"/>
          <w:rFonts w:hint="eastAsia" w:ascii="楷体_GB2312" w:hAnsi="楷体_GB2312" w:eastAsia="楷体_GB2312" w:cs="楷体_GB2312"/>
          <w:b w:val="0"/>
          <w:bCs w:val="0"/>
          <w:spacing w:val="-4"/>
          <w:kern w:val="2"/>
          <w:sz w:val="32"/>
          <w:szCs w:val="32"/>
          <w:lang w:val="en-US" w:eastAsia="zh-CN" w:bidi="ar-SA"/>
        </w:rPr>
        <w:t>（二）项目过程情况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default" w:ascii="Times New Roman" w:hAnsi="Times New Roman"/>
          <w:spacing w:val="-6"/>
          <w:sz w:val="32"/>
          <w:lang w:val="en-US" w:eastAsia="zh-CN"/>
        </w:rPr>
      </w:pPr>
      <w:r>
        <w:rPr>
          <w:rFonts w:hint="eastAsia" w:ascii="Times New Roman" w:hAnsi="Times New Roman"/>
          <w:lang w:val="en-US" w:eastAsia="zh-CN"/>
        </w:rPr>
        <w:t>2025年度绩效管理促进了我室不断提高以文辅政能力，年内按工作计划，分阶段高质量完成</w:t>
      </w:r>
      <w:r>
        <w:rPr>
          <w:rFonts w:hint="default" w:ascii="Times New Roman" w:hAnsi="Times New Roman"/>
          <w:lang w:val="en-US" w:eastAsia="zh-CN"/>
        </w:rPr>
        <w:t>《政府工作报告》《关于新疆经济社会高质量</w:t>
      </w:r>
      <w:r>
        <w:rPr>
          <w:rFonts w:hint="default" w:ascii="Times New Roman" w:hAnsi="Times New Roman"/>
          <w:spacing w:val="-6"/>
          <w:sz w:val="32"/>
          <w:lang w:val="en-US" w:eastAsia="zh-CN"/>
        </w:rPr>
        <w:t>发展的情况报告》《系统谋划 重点突破 加快打造具有国际影响力的冰雪经济聚集区》《加快推进我区绿电直供试点的政策建议》《关于扶持新</w:t>
      </w:r>
      <w:r>
        <w:rPr>
          <w:rFonts w:hint="eastAsia" w:ascii="Times New Roman" w:hAnsi="Times New Roman"/>
          <w:spacing w:val="-6"/>
          <w:sz w:val="32"/>
          <w:lang w:val="en-US" w:eastAsia="zh-CN"/>
        </w:rPr>
        <w:t>姿</w:t>
      </w:r>
      <w:r>
        <w:rPr>
          <w:rFonts w:hint="default" w:ascii="Times New Roman" w:hAnsi="Times New Roman"/>
          <w:spacing w:val="-6"/>
          <w:sz w:val="32"/>
          <w:lang w:val="en-US" w:eastAsia="zh-CN"/>
        </w:rPr>
        <w:t>源生物制药有限责任公司做大做强的政策建议》《准东、宁东、榆林、鄂尔多斯开发区发展情况对比分析》</w:t>
      </w:r>
      <w:r>
        <w:rPr>
          <w:rFonts w:hint="eastAsia" w:ascii="Times New Roman" w:hAnsi="Times New Roman"/>
          <w:spacing w:val="-6"/>
          <w:sz w:val="32"/>
          <w:lang w:val="en-US" w:eastAsia="zh-CN"/>
        </w:rPr>
        <w:t>等20余篇重点调研报告。政策研究和信息咨询服务工作取得新进展，全面梳理今年以来党中央、国务院及国家各部委出台的各类</w:t>
      </w:r>
      <w:r>
        <w:rPr>
          <w:rFonts w:hint="default" w:ascii="Times New Roman" w:hAnsi="Times New Roman"/>
          <w:spacing w:val="-6"/>
          <w:sz w:val="32"/>
          <w:lang w:val="en-US" w:eastAsia="zh-CN"/>
        </w:rPr>
        <w:t>政策</w:t>
      </w:r>
      <w:r>
        <w:rPr>
          <w:rFonts w:hint="eastAsia" w:ascii="Times New Roman" w:hAnsi="Times New Roman"/>
          <w:spacing w:val="-6"/>
          <w:sz w:val="32"/>
          <w:lang w:val="en-US" w:eastAsia="zh-CN"/>
        </w:rPr>
        <w:t>，编印</w:t>
      </w:r>
      <w:r>
        <w:rPr>
          <w:rFonts w:hint="default" w:ascii="Times New Roman" w:hAnsi="Times New Roman"/>
          <w:spacing w:val="-6"/>
          <w:sz w:val="32"/>
          <w:lang w:val="en-US" w:eastAsia="zh-CN"/>
        </w:rPr>
        <w:t>《重要经济政策文件汇编》</w:t>
      </w:r>
      <w:r>
        <w:rPr>
          <w:rFonts w:hint="eastAsia" w:ascii="Times New Roman" w:hAnsi="Times New Roman"/>
          <w:spacing w:val="-6"/>
          <w:sz w:val="32"/>
          <w:lang w:val="en-US" w:eastAsia="zh-CN"/>
        </w:rPr>
        <w:t>，开展政策</w:t>
      </w:r>
      <w:r>
        <w:rPr>
          <w:rFonts w:hint="default" w:ascii="Times New Roman" w:hAnsi="Times New Roman"/>
          <w:spacing w:val="-6"/>
          <w:sz w:val="32"/>
          <w:lang w:val="en-US" w:eastAsia="zh-CN"/>
        </w:rPr>
        <w:t>解读工作。先后编印《新疆维吾尔自治区概况（202</w:t>
      </w:r>
      <w:r>
        <w:rPr>
          <w:rFonts w:hint="eastAsia" w:ascii="Times New Roman" w:hAnsi="Times New Roman"/>
          <w:spacing w:val="-6"/>
          <w:sz w:val="32"/>
          <w:lang w:val="en-US" w:eastAsia="zh-CN"/>
        </w:rPr>
        <w:t>5</w:t>
      </w:r>
      <w:r>
        <w:rPr>
          <w:rFonts w:hint="default" w:ascii="Times New Roman" w:hAnsi="Times New Roman"/>
          <w:spacing w:val="-6"/>
          <w:sz w:val="32"/>
          <w:lang w:val="en-US" w:eastAsia="zh-CN"/>
        </w:rPr>
        <w:t>年）》《自治区经济社会发展基本情况及主要数据》</w:t>
      </w:r>
      <w:r>
        <w:rPr>
          <w:rFonts w:hint="eastAsia" w:ascii="Times New Roman" w:hAnsi="Times New Roman"/>
          <w:spacing w:val="-6"/>
          <w:sz w:val="32"/>
          <w:lang w:val="en-US" w:eastAsia="zh-CN"/>
        </w:rPr>
        <w:t>等</w:t>
      </w:r>
      <w:r>
        <w:rPr>
          <w:rFonts w:hint="default" w:ascii="Times New Roman" w:hAnsi="Times New Roman"/>
          <w:spacing w:val="-6"/>
          <w:sz w:val="32"/>
          <w:lang w:val="en-US" w:eastAsia="zh-CN"/>
        </w:rPr>
        <w:t>，</w:t>
      </w:r>
      <w:r>
        <w:rPr>
          <w:rFonts w:hint="eastAsia" w:ascii="Times New Roman" w:hAnsi="Times New Roman"/>
          <w:spacing w:val="-6"/>
          <w:sz w:val="32"/>
          <w:lang w:val="en-US" w:eastAsia="zh-CN"/>
        </w:rPr>
        <w:t>供自治区领导和各地各部门参阅。</w:t>
      </w:r>
      <w:r>
        <w:rPr>
          <w:rFonts w:hint="default" w:ascii="Times New Roman" w:hAnsi="Times New Roman"/>
          <w:spacing w:val="-6"/>
          <w:sz w:val="32"/>
          <w:lang w:val="en-US" w:eastAsia="zh-CN"/>
        </w:rPr>
        <w:t>汇编全国各省区市和全疆各地州市《政府工作报告》。编印编印《调查研究（专报）》</w:t>
      </w:r>
      <w:r>
        <w:rPr>
          <w:rFonts w:hint="eastAsia" w:ascii="Times New Roman" w:hAnsi="Times New Roman"/>
          <w:spacing w:val="-6"/>
          <w:sz w:val="32"/>
          <w:lang w:val="en-US" w:eastAsia="zh-CN"/>
        </w:rPr>
        <w:t>25</w:t>
      </w:r>
      <w:r>
        <w:rPr>
          <w:rFonts w:hint="default" w:ascii="Times New Roman" w:hAnsi="Times New Roman"/>
          <w:spacing w:val="-6"/>
          <w:sz w:val="32"/>
          <w:lang w:val="en-US" w:eastAsia="zh-CN"/>
        </w:rPr>
        <w:t>期、《情况专报》</w:t>
      </w:r>
      <w:r>
        <w:rPr>
          <w:rFonts w:hint="eastAsia" w:ascii="Times New Roman" w:hAnsi="Times New Roman"/>
          <w:spacing w:val="-6"/>
          <w:sz w:val="32"/>
          <w:lang w:val="en-US" w:eastAsia="zh-CN"/>
        </w:rPr>
        <w:t>41</w:t>
      </w:r>
      <w:r>
        <w:rPr>
          <w:rFonts w:hint="default" w:ascii="Times New Roman" w:hAnsi="Times New Roman"/>
          <w:spacing w:val="-6"/>
          <w:sz w:val="32"/>
          <w:lang w:val="en-US" w:eastAsia="zh-CN"/>
        </w:rPr>
        <w:t>期</w:t>
      </w:r>
      <w:r>
        <w:rPr>
          <w:rFonts w:hint="eastAsia" w:ascii="Times New Roman" w:hAnsi="Times New Roman"/>
          <w:spacing w:val="-6"/>
          <w:sz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仿宋" w:hAnsi="仿宋" w:eastAsia="仿宋"/>
          <w:b w:val="0"/>
          <w:bCs w:val="0"/>
        </w:rPr>
      </w:pPr>
      <w:r>
        <w:rPr>
          <w:rStyle w:val="10"/>
          <w:rFonts w:hint="eastAsia" w:ascii="楷体_GB2312" w:hAnsi="楷体_GB2312" w:eastAsia="楷体_GB2312" w:cs="楷体_GB2312"/>
          <w:b w:val="0"/>
          <w:bCs w:val="0"/>
          <w:spacing w:val="-4"/>
          <w:kern w:val="2"/>
          <w:sz w:val="32"/>
          <w:szCs w:val="32"/>
          <w:lang w:val="en-US" w:eastAsia="zh-CN" w:bidi="ar-SA"/>
        </w:rPr>
        <w:t>（三）项目产出情况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default" w:ascii="Times New Roman" w:hAnsi="Times New Roman"/>
          <w:spacing w:val="-6"/>
          <w:sz w:val="32"/>
          <w:lang w:val="en-US" w:eastAsia="zh-CN"/>
        </w:rPr>
      </w:pPr>
      <w:r>
        <w:rPr>
          <w:rFonts w:hint="eastAsia" w:ascii="Times New Roman" w:hAnsi="Times New Roman"/>
          <w:spacing w:val="-6"/>
          <w:sz w:val="32"/>
          <w:lang w:val="en-US" w:eastAsia="zh-CN"/>
        </w:rPr>
        <w:t>组织馆员文史研究，创作书画摄影作品展作品计划完成目标值大于等于30幅，实际完成值30幅；开展重点课题研究及组织参事、馆员开展课题研究数量计划完成目标值大于等于20个，实际完成值20个；调研、考察、访谈、督查、论坛等活动数计划完成目标值大于等于28次，实际完成值28次；向自治区人民政府领导提出建议数量计划完成目标值大于等于20条，实际完成值20条；购置办公设施设备计划完成目标值大于等于46件（套），实际完成值46件（套）；经济运行分析报告数计划完成目标值大于等于3篇，实际完成值3篇；重点课题研究合格率计划完成目标值等于100%，实际完成值100%；购置设施设备合格率计划完成目标值大于等于95%，实际完成值100%；经济运行分析报告按季完成率计划完成目标值等于100%，实际完成值100%；重点课题研究按时完成率计划完成目标值等于100%，实际完成100%。</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（四）项目效益情况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围绕自治区党委、政府重点工作部署，研究提出关于推动我区经济社会高质量发展政策建议20余条（项），其中16条（项）得到自治区党委、政府主要领导重要批示，批转相关厅局阅研，为推动我区经济社会发展决策提供了有效支撑，充分履行了我室以文辅政职能。</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b w:val="0"/>
          <w:bCs w:val="0"/>
          <w:highlight w:val="none"/>
        </w:rPr>
      </w:pPr>
      <w:r>
        <w:rPr>
          <w:rStyle w:val="10"/>
          <w:rFonts w:hint="eastAsia" w:ascii="黑体" w:hAnsi="黑体" w:eastAsia="黑体"/>
          <w:b w:val="0"/>
          <w:bCs w:val="0"/>
          <w:highlight w:val="none"/>
        </w:rPr>
        <w:t>五、</w:t>
      </w:r>
      <w:r>
        <w:rPr>
          <w:rStyle w:val="10"/>
          <w:rFonts w:ascii="黑体" w:hAnsi="黑体" w:eastAsia="黑体"/>
          <w:b w:val="0"/>
          <w:bCs w:val="0"/>
          <w:highlight w:val="none"/>
        </w:rPr>
        <w:t>主要经验及做法、存在的问题及原因分析</w:t>
      </w:r>
    </w:p>
    <w:p>
      <w:pPr>
        <w:pStyle w:val="13"/>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（一）主要经验及做法</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一是强化组织领导，夯实管理工作根基。室党组高度重视预算绩效管理工作，多次召开党组会议审议预算编制、绩效目标及研究预算绩效管理中存在的问题。建立完善沟通协调机制，强化预算绩效管理部门与业务处室之间的信息共享和工作联动，共同研究预算编制目标设定，协同开展预算执行绩效监控、成果评价分析，及时解决工作中出现的堵点、难点问题，确保绩效管理工作高效协同、落地见效。</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default" w:ascii="Times New Roman" w:hAnsi="Times New Roman"/>
          <w:spacing w:val="-6"/>
          <w:sz w:val="32"/>
          <w:lang w:val="en-US" w:eastAsia="zh-CN"/>
        </w:rPr>
      </w:pPr>
      <w:r>
        <w:rPr>
          <w:rFonts w:hint="eastAsia" w:ascii="Times New Roman" w:hAnsi="Times New Roman"/>
          <w:spacing w:val="-6"/>
          <w:sz w:val="32"/>
          <w:lang w:val="en-US" w:eastAsia="zh-CN"/>
        </w:rPr>
        <w:t>二是严格预算执行，规范资金使用流程。</w:t>
      </w:r>
      <w:r>
        <w:rPr>
          <w:rFonts w:hint="default" w:ascii="Times New Roman" w:hAnsi="Times New Roman"/>
          <w:spacing w:val="-6"/>
          <w:sz w:val="32"/>
          <w:lang w:val="en-US" w:eastAsia="zh-CN"/>
        </w:rPr>
        <w:t>强化刚性约束，严格执行“三重一大”决策制度，严格预算科目、项目和金额执行，坚决杜绝无预算、超预算支出。建立动态监控机制，定期对预算执行进度开展分析研判，对执行缓慢的项目及时预警、定期通报，督促加快执行进度。同时，严把资金支付流程，确保资金使用合规合法、安全高效。</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default" w:ascii="Times New Roman" w:hAnsi="Times New Roman"/>
          <w:spacing w:val="-6"/>
          <w:sz w:val="32"/>
          <w:lang w:val="en-US" w:eastAsia="zh-CN"/>
        </w:rPr>
      </w:pPr>
      <w:r>
        <w:rPr>
          <w:rFonts w:hint="eastAsia" w:ascii="Times New Roman" w:hAnsi="Times New Roman"/>
          <w:spacing w:val="-6"/>
          <w:sz w:val="32"/>
          <w:lang w:val="en-US" w:eastAsia="zh-CN"/>
        </w:rPr>
        <w:t>三是完善管理体系，落实预算绩效制度。</w:t>
      </w:r>
      <w:r>
        <w:rPr>
          <w:rFonts w:hint="default" w:ascii="Times New Roman" w:hAnsi="Times New Roman"/>
          <w:spacing w:val="-6"/>
          <w:sz w:val="32"/>
          <w:lang w:val="en-US" w:eastAsia="zh-CN"/>
        </w:rPr>
        <w:t>结合单位实际，修订完善《项目支出绩效评价指标体系》《差旅费管理办法》《</w:t>
      </w:r>
      <w:r>
        <w:rPr>
          <w:rFonts w:hint="eastAsia" w:ascii="Times New Roman" w:hAnsi="Times New Roman"/>
          <w:spacing w:val="-6"/>
          <w:sz w:val="32"/>
          <w:lang w:val="en-US" w:eastAsia="zh-CN"/>
        </w:rPr>
        <w:t>项目预算支出绩效管理办法</w:t>
      </w:r>
      <w:r>
        <w:rPr>
          <w:rFonts w:hint="default" w:ascii="Times New Roman" w:hAnsi="Times New Roman"/>
          <w:spacing w:val="-6"/>
          <w:sz w:val="32"/>
          <w:lang w:val="en-US" w:eastAsia="zh-CN"/>
        </w:rPr>
        <w:t>》等规章制度，进一步明确工作流程、操作规范和评价标准，形成覆盖预算编制、执行、监控、评价、结果应用等全流程的制度体系，预算绩效管理的系统性和整体性不断增强。</w:t>
      </w:r>
    </w:p>
    <w:p>
      <w:pPr>
        <w:pStyle w:val="13"/>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（二）存在的不足及原因分析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存在的不足：我</w:t>
      </w:r>
      <w:r>
        <w:rPr>
          <w:rFonts w:hint="default" w:ascii="Times New Roman" w:hAnsi="Times New Roman"/>
          <w:spacing w:val="-6"/>
          <w:sz w:val="32"/>
          <w:lang w:val="en-US" w:eastAsia="zh-CN"/>
        </w:rPr>
        <w:t>室</w:t>
      </w:r>
      <w:r>
        <w:rPr>
          <w:rFonts w:hint="eastAsia" w:ascii="Times New Roman" w:hAnsi="Times New Roman"/>
          <w:spacing w:val="-6"/>
          <w:sz w:val="32"/>
          <w:lang w:val="en-US" w:eastAsia="zh-CN"/>
        </w:rPr>
        <w:t>预算绩效管理工作整体水平</w:t>
      </w:r>
      <w:r>
        <w:rPr>
          <w:rFonts w:hint="default" w:ascii="Times New Roman" w:hAnsi="Times New Roman"/>
          <w:spacing w:val="-6"/>
          <w:sz w:val="32"/>
          <w:lang w:val="en-US" w:eastAsia="zh-CN"/>
        </w:rPr>
        <w:t>虽然取得一定成绩</w:t>
      </w:r>
      <w:r>
        <w:rPr>
          <w:rFonts w:hint="eastAsia" w:ascii="Times New Roman" w:hAnsi="Times New Roman"/>
          <w:spacing w:val="-6"/>
          <w:sz w:val="32"/>
          <w:lang w:val="en-US" w:eastAsia="zh-CN"/>
        </w:rPr>
        <w:t>，但也存在一些不足。</w:t>
      </w:r>
      <w:r>
        <w:rPr>
          <w:rFonts w:hint="default" w:ascii="Times New Roman" w:hAnsi="Times New Roman"/>
          <w:spacing w:val="-6"/>
          <w:sz w:val="32"/>
          <w:lang w:val="en-US" w:eastAsia="zh-CN"/>
        </w:rPr>
        <w:t>一是预算绩效</w:t>
      </w:r>
      <w:r>
        <w:rPr>
          <w:rFonts w:hint="eastAsia" w:ascii="Times New Roman" w:hAnsi="Times New Roman"/>
          <w:spacing w:val="-6"/>
          <w:sz w:val="32"/>
          <w:lang w:val="en-US" w:eastAsia="zh-CN"/>
        </w:rPr>
        <w:t>目标设置</w:t>
      </w:r>
      <w:r>
        <w:rPr>
          <w:rFonts w:hint="default" w:ascii="Times New Roman" w:hAnsi="Times New Roman"/>
          <w:spacing w:val="-6"/>
          <w:sz w:val="32"/>
          <w:lang w:val="en-US" w:eastAsia="zh-CN"/>
        </w:rPr>
        <w:t>还不够科学，量化指标可操作性还不强</w:t>
      </w:r>
      <w:r>
        <w:rPr>
          <w:rFonts w:hint="eastAsia" w:ascii="Times New Roman" w:hAnsi="Times New Roman"/>
          <w:spacing w:val="-6"/>
          <w:sz w:val="32"/>
          <w:lang w:val="en-US" w:eastAsia="zh-CN"/>
        </w:rPr>
        <w:t>。</w:t>
      </w:r>
      <w:r>
        <w:rPr>
          <w:rFonts w:hint="default" w:ascii="Times New Roman" w:hAnsi="Times New Roman"/>
          <w:spacing w:val="-6"/>
          <w:sz w:val="32"/>
          <w:lang w:val="en-US" w:eastAsia="zh-CN"/>
        </w:rPr>
        <w:t>二是预算绩效管理队伍专业能力还有不足，政策理解和实操技能上还有待提升。</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原因分析：业务人员对预算绩效管理有关政策理解还不够透彻，掌握还不够熟练，业务能力素质有待进一步提高。</w:t>
      </w:r>
    </w:p>
    <w:p>
      <w:pPr>
        <w:pStyle w:val="13"/>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hint="eastAsia" w:ascii="楷体_GB2312" w:hAnsi="楷体_GB2312" w:eastAsia="楷体_GB2312" w:cs="楷体_GB2312"/>
          <w:b w:val="0"/>
          <w:bCs w:val="0"/>
          <w:spacing w:val="-4"/>
          <w:kern w:val="2"/>
          <w:sz w:val="32"/>
          <w:szCs w:val="32"/>
          <w:lang w:val="en-US" w:eastAsia="zh-CN" w:bidi="ar-SA"/>
        </w:rPr>
      </w:pPr>
      <w:r>
        <w:rPr>
          <w:rStyle w:val="10"/>
          <w:rFonts w:hint="eastAsia" w:ascii="楷体_GB2312" w:hAnsi="楷体_GB2312" w:eastAsia="楷体_GB2312" w:cs="楷体_GB2312"/>
          <w:b w:val="0"/>
          <w:bCs w:val="0"/>
          <w:spacing w:val="-4"/>
          <w:kern w:val="2"/>
          <w:sz w:val="32"/>
          <w:szCs w:val="32"/>
          <w:lang w:val="en-US" w:eastAsia="zh-CN" w:bidi="ar-SA"/>
        </w:rPr>
        <w:t>（三）下一步打算</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202</w:t>
      </w:r>
      <w:r>
        <w:rPr>
          <w:rFonts w:hint="default" w:ascii="Times New Roman" w:hAnsi="Times New Roman"/>
          <w:spacing w:val="-6"/>
          <w:sz w:val="32"/>
          <w:lang w:val="en-US" w:eastAsia="zh-CN"/>
        </w:rPr>
        <w:t>6</w:t>
      </w:r>
      <w:r>
        <w:rPr>
          <w:rFonts w:hint="eastAsia" w:ascii="Times New Roman" w:hAnsi="Times New Roman"/>
          <w:spacing w:val="-6"/>
          <w:sz w:val="32"/>
          <w:lang w:val="en-US" w:eastAsia="zh-CN"/>
        </w:rPr>
        <w:t>年，</w:t>
      </w:r>
      <w:r>
        <w:rPr>
          <w:rFonts w:hint="default" w:ascii="Times New Roman" w:hAnsi="Times New Roman"/>
          <w:spacing w:val="-6"/>
          <w:sz w:val="32"/>
          <w:lang w:val="en-US" w:eastAsia="zh-CN"/>
        </w:rPr>
        <w:t>我室</w:t>
      </w:r>
      <w:r>
        <w:rPr>
          <w:rFonts w:hint="eastAsia" w:ascii="Times New Roman" w:hAnsi="Times New Roman"/>
          <w:spacing w:val="-6"/>
          <w:sz w:val="32"/>
          <w:lang w:val="en-US" w:eastAsia="zh-CN"/>
        </w:rPr>
        <w:t>将</w:t>
      </w:r>
      <w:r>
        <w:rPr>
          <w:rFonts w:hint="default" w:ascii="Times New Roman" w:hAnsi="Times New Roman"/>
          <w:spacing w:val="-6"/>
          <w:sz w:val="32"/>
          <w:lang w:val="en-US" w:eastAsia="zh-CN"/>
        </w:rPr>
        <w:t>进一步</w:t>
      </w:r>
      <w:r>
        <w:rPr>
          <w:rFonts w:hint="eastAsia" w:ascii="Times New Roman" w:hAnsi="Times New Roman"/>
          <w:spacing w:val="-6"/>
          <w:sz w:val="32"/>
          <w:lang w:val="en-US" w:eastAsia="zh-CN"/>
        </w:rPr>
        <w:t>贯彻</w:t>
      </w:r>
      <w:r>
        <w:rPr>
          <w:rFonts w:hint="default" w:ascii="Times New Roman" w:hAnsi="Times New Roman"/>
          <w:spacing w:val="-6"/>
          <w:sz w:val="32"/>
          <w:lang w:val="en-US" w:eastAsia="zh-CN"/>
        </w:rPr>
        <w:t>落实党中央、国务院和</w:t>
      </w:r>
      <w:r>
        <w:rPr>
          <w:rFonts w:hint="eastAsia" w:ascii="Times New Roman" w:hAnsi="Times New Roman"/>
          <w:spacing w:val="-6"/>
          <w:sz w:val="32"/>
          <w:lang w:val="en-US" w:eastAsia="zh-CN"/>
        </w:rPr>
        <w:t>自治区</w:t>
      </w:r>
      <w:r>
        <w:rPr>
          <w:rFonts w:hint="default" w:ascii="Times New Roman" w:hAnsi="Times New Roman"/>
          <w:spacing w:val="-6"/>
          <w:sz w:val="32"/>
          <w:lang w:val="en-US" w:eastAsia="zh-CN"/>
        </w:rPr>
        <w:t>党委、自治区人民政府</w:t>
      </w:r>
      <w:r>
        <w:rPr>
          <w:rFonts w:hint="eastAsia" w:ascii="Times New Roman" w:hAnsi="Times New Roman"/>
          <w:spacing w:val="-6"/>
          <w:sz w:val="32"/>
          <w:lang w:val="en-US" w:eastAsia="zh-CN"/>
        </w:rPr>
        <w:t>关于全面实施预算绩效管理的部署要求，</w:t>
      </w:r>
      <w:r>
        <w:rPr>
          <w:rFonts w:hint="default" w:ascii="Times New Roman" w:hAnsi="Times New Roman"/>
          <w:spacing w:val="-6"/>
          <w:sz w:val="32"/>
          <w:lang w:val="en-US" w:eastAsia="zh-CN"/>
        </w:rPr>
        <w:t>持续</w:t>
      </w:r>
      <w:r>
        <w:rPr>
          <w:rFonts w:hint="eastAsia" w:ascii="Times New Roman" w:hAnsi="Times New Roman"/>
          <w:spacing w:val="-6"/>
          <w:sz w:val="32"/>
          <w:lang w:val="en-US" w:eastAsia="zh-CN"/>
        </w:rPr>
        <w:t>提高预算</w:t>
      </w:r>
      <w:r>
        <w:rPr>
          <w:rFonts w:hint="default" w:ascii="Times New Roman" w:hAnsi="Times New Roman"/>
          <w:spacing w:val="-6"/>
          <w:sz w:val="32"/>
          <w:lang w:val="en-US" w:eastAsia="zh-CN"/>
        </w:rPr>
        <w:t>编制</w:t>
      </w:r>
      <w:r>
        <w:rPr>
          <w:rFonts w:hint="eastAsia" w:ascii="Times New Roman" w:hAnsi="Times New Roman"/>
          <w:spacing w:val="-6"/>
          <w:sz w:val="32"/>
          <w:lang w:val="en-US" w:eastAsia="zh-CN"/>
        </w:rPr>
        <w:t>质量，强化预算绩效管理，提升资金使用效益。</w:t>
      </w:r>
      <w:r>
        <w:rPr>
          <w:rFonts w:hint="default" w:ascii="Times New Roman" w:hAnsi="Times New Roman"/>
          <w:spacing w:val="-6"/>
          <w:sz w:val="32"/>
          <w:lang w:val="en-US" w:eastAsia="zh-CN"/>
        </w:rPr>
        <w:t>一</w:t>
      </w:r>
      <w:r>
        <w:rPr>
          <w:rFonts w:hint="eastAsia" w:ascii="Times New Roman" w:hAnsi="Times New Roman"/>
          <w:spacing w:val="-6"/>
          <w:sz w:val="32"/>
          <w:lang w:val="en-US" w:eastAsia="zh-CN"/>
        </w:rPr>
        <w:t>是</w:t>
      </w:r>
      <w:r>
        <w:rPr>
          <w:rFonts w:hint="default" w:ascii="Times New Roman" w:hAnsi="Times New Roman"/>
          <w:spacing w:val="-6"/>
          <w:sz w:val="32"/>
          <w:lang w:val="en-US" w:eastAsia="zh-CN"/>
        </w:rPr>
        <w:t>优化绩效目标体系，持续完善《绩效指标编制指引》，规范指标设计标准，健全目标审核与动态调整机制，确保绩效目标科学可行。二是强化队伍建设，通过集中授课、案例研讨等形式，组织开展专题培训，打造专业化队伍。三是深化结果应用实效</w:t>
      </w:r>
      <w:r>
        <w:rPr>
          <w:rFonts w:hint="eastAsia" w:ascii="Times New Roman" w:hAnsi="Times New Roman"/>
          <w:spacing w:val="-6"/>
          <w:sz w:val="32"/>
          <w:lang w:val="en-US" w:eastAsia="zh-CN"/>
        </w:rPr>
        <w:t>，</w:t>
      </w:r>
      <w:r>
        <w:rPr>
          <w:rFonts w:hint="default" w:ascii="Times New Roman" w:hAnsi="Times New Roman"/>
          <w:spacing w:val="-6"/>
          <w:sz w:val="32"/>
          <w:lang w:val="en-US" w:eastAsia="zh-CN"/>
        </w:rPr>
        <w:t>将评价结果与预算编制、资金分配直接挂钩，强化激励约束，打破“重评价、轻应用”局面。</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b w:val="0"/>
          <w:bCs w:val="0"/>
        </w:rPr>
      </w:pPr>
      <w:r>
        <w:rPr>
          <w:rStyle w:val="10"/>
          <w:rFonts w:hint="eastAsia" w:ascii="黑体" w:hAnsi="黑体" w:eastAsia="黑体"/>
          <w:b w:val="0"/>
          <w:bCs w:val="0"/>
          <w:lang w:val="en-US" w:eastAsia="zh-CN"/>
        </w:rPr>
        <w:t>六</w:t>
      </w:r>
      <w:r>
        <w:rPr>
          <w:rStyle w:val="10"/>
          <w:rFonts w:ascii="黑体" w:hAnsi="黑体" w:eastAsia="黑体"/>
          <w:b w:val="0"/>
          <w:bCs w:val="0"/>
        </w:rPr>
        <w:t>、有关建议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建议业务部门适时组织一次全面的业务培训，提高相关人员业务水平，同时建议将评价得分较高单位好的经验做法加以推广，促进绩效管理工作共同进步。</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0"/>
          <w:rFonts w:ascii="黑体" w:hAnsi="黑体" w:eastAsia="黑体"/>
          <w:b w:val="0"/>
          <w:bCs w:val="0"/>
        </w:rPr>
      </w:pPr>
      <w:r>
        <w:rPr>
          <w:rStyle w:val="10"/>
          <w:rFonts w:hint="eastAsia" w:ascii="黑体" w:hAnsi="黑体" w:eastAsia="黑体"/>
          <w:b w:val="0"/>
          <w:bCs w:val="0"/>
          <w:lang w:val="en-US" w:eastAsia="zh-CN"/>
        </w:rPr>
        <w:t>七</w:t>
      </w:r>
      <w:r>
        <w:rPr>
          <w:rStyle w:val="10"/>
          <w:rFonts w:hint="eastAsia" w:ascii="黑体" w:hAnsi="黑体" w:eastAsia="黑体"/>
          <w:b w:val="0"/>
          <w:bCs w:val="0"/>
        </w:rPr>
        <w:t>、其他需要说明的问题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无其他需要说明的问题。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0"/>
          <w:rFonts w:hint="eastAsia" w:ascii="楷体" w:hAnsi="楷体" w:eastAsia="楷体"/>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hint="eastAsia"/>
          <w:spacing w:val="-6"/>
          <w:sz w:val="32"/>
          <w:lang w:val="en-US" w:eastAsia="zh-CN"/>
        </w:rPr>
      </w:pPr>
      <w:r>
        <w:rPr>
          <w:rFonts w:hint="eastAsia"/>
          <w:spacing w:val="-6"/>
          <w:sz w:val="32"/>
          <w:lang w:val="en-US" w:eastAsia="zh-CN"/>
        </w:rPr>
        <w:t>附件：1.自治区人民政府研究室、参事室（文史研究馆）项目</w:t>
      </w:r>
    </w:p>
    <w:p>
      <w:pPr>
        <w:keepNext w:val="0"/>
        <w:keepLines w:val="0"/>
        <w:pageBreakBefore w:val="0"/>
        <w:widowControl w:val="0"/>
        <w:kinsoku/>
        <w:wordWrap/>
        <w:overflowPunct/>
        <w:topLinePunct w:val="0"/>
        <w:autoSpaceDE/>
        <w:autoSpaceDN/>
        <w:bidi w:val="0"/>
        <w:adjustRightInd/>
        <w:snapToGrid/>
        <w:spacing w:line="560" w:lineRule="exact"/>
        <w:ind w:firstLine="1540" w:firstLineChars="500"/>
        <w:textAlignment w:val="auto"/>
        <w:rPr>
          <w:rFonts w:hint="eastAsia"/>
          <w:spacing w:val="-6"/>
          <w:sz w:val="32"/>
          <w:lang w:val="en-US" w:eastAsia="zh-CN"/>
        </w:rPr>
      </w:pPr>
      <w:r>
        <w:rPr>
          <w:rFonts w:hint="eastAsia"/>
          <w:spacing w:val="-6"/>
          <w:sz w:val="32"/>
          <w:lang w:val="en-US" w:eastAsia="zh-CN"/>
        </w:rPr>
        <w:t>支出绩效评价指标体系表</w:t>
      </w:r>
    </w:p>
    <w:p>
      <w:pPr>
        <w:keepNext w:val="0"/>
        <w:keepLines w:val="0"/>
        <w:pageBreakBefore w:val="0"/>
        <w:widowControl w:val="0"/>
        <w:kinsoku/>
        <w:wordWrap/>
        <w:overflowPunct/>
        <w:topLinePunct w:val="0"/>
        <w:autoSpaceDE/>
        <w:autoSpaceDN/>
        <w:bidi w:val="0"/>
        <w:adjustRightInd/>
        <w:snapToGrid/>
        <w:spacing w:line="560" w:lineRule="exact"/>
        <w:ind w:firstLine="1540" w:firstLineChars="500"/>
        <w:textAlignment w:val="auto"/>
        <w:rPr>
          <w:rFonts w:hint="eastAsia" w:ascii="Times New Roman" w:hAnsi="Times New Roman"/>
          <w:spacing w:val="-6"/>
          <w:sz w:val="32"/>
          <w:lang w:val="en-US" w:eastAsia="zh-CN"/>
        </w:rPr>
      </w:pPr>
      <w:r>
        <w:rPr>
          <w:rFonts w:hint="eastAsia" w:ascii="Times New Roman" w:hAnsi="Times New Roman"/>
          <w:spacing w:val="-6"/>
          <w:sz w:val="32"/>
          <w:lang w:val="en-US" w:eastAsia="zh-CN"/>
        </w:rPr>
        <w:t>2.自治区人民政府研究室、参事室（文史研究馆）项目</w:t>
      </w:r>
    </w:p>
    <w:p>
      <w:pPr>
        <w:keepNext w:val="0"/>
        <w:keepLines w:val="0"/>
        <w:pageBreakBefore w:val="0"/>
        <w:widowControl w:val="0"/>
        <w:kinsoku/>
        <w:wordWrap/>
        <w:overflowPunct/>
        <w:topLinePunct w:val="0"/>
        <w:autoSpaceDE/>
        <w:autoSpaceDN/>
        <w:bidi w:val="0"/>
        <w:adjustRightInd/>
        <w:snapToGrid/>
        <w:spacing w:line="560" w:lineRule="exact"/>
        <w:ind w:firstLine="1540" w:firstLineChars="500"/>
        <w:textAlignment w:val="auto"/>
        <w:rPr>
          <w:rFonts w:hint="default" w:ascii="Times New Roman" w:hAnsi="Times New Roman" w:eastAsia="仿宋_GB2312" w:cs="仿宋"/>
          <w:b w:val="0"/>
          <w:bCs w:val="0"/>
          <w:spacing w:val="-6"/>
          <w:kern w:val="2"/>
          <w:sz w:val="32"/>
          <w:szCs w:val="32"/>
          <w:lang w:val="en-US" w:eastAsia="zh-CN" w:bidi="ar-SA"/>
        </w:rPr>
      </w:pPr>
      <w:r>
        <w:rPr>
          <w:rFonts w:hint="eastAsia" w:ascii="Times New Roman" w:hAnsi="Times New Roman"/>
          <w:spacing w:val="-6"/>
          <w:sz w:val="32"/>
          <w:lang w:val="en-US" w:eastAsia="zh-CN"/>
        </w:rPr>
        <w:t>支出绩效评价评分表</w:t>
      </w:r>
    </w:p>
    <w:p>
      <w:pPr>
        <w:pageBreakBefore w:val="0"/>
        <w:kinsoku/>
        <w:wordWrap/>
        <w:overflowPunct/>
        <w:topLinePunct w:val="0"/>
        <w:autoSpaceDE/>
        <w:autoSpaceDN/>
        <w:bidi w:val="0"/>
        <w:adjustRightInd/>
        <w:snapToGrid/>
        <w:spacing w:line="560" w:lineRule="exact"/>
        <w:textAlignment w:val="auto"/>
        <w:sectPr>
          <w:footerReference r:id="rId5" w:type="default"/>
          <w:pgSz w:w="11906" w:h="16838"/>
          <w:pgMar w:top="2098" w:right="1474" w:bottom="1984" w:left="1474" w:header="851" w:footer="1417" w:gutter="0"/>
          <w:pgBorders w:offsetFrom="page">
            <w:top w:val="none" w:sz="0" w:space="0"/>
            <w:left w:val="none" w:sz="0" w:space="0"/>
            <w:bottom w:val="none" w:sz="0" w:space="0"/>
            <w:right w:val="none" w:sz="0" w:space="0"/>
          </w:pgBorders>
          <w:pgNumType w:fmt="decimal" w:start="1"/>
          <w:cols w:space="0" w:num="1"/>
          <w:rtlGutter w:val="0"/>
          <w:docGrid w:type="linesAndChars" w:linePitch="579" w:charSpace="0"/>
        </w:sectPr>
      </w:pPr>
    </w:p>
    <w:tbl>
      <w:tblPr>
        <w:tblStyle w:val="8"/>
        <w:tblW w:w="510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918"/>
        <w:gridCol w:w="1755"/>
        <w:gridCol w:w="4365"/>
        <w:gridCol w:w="6135"/>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620" w:type="pct"/>
            <w:gridSpan w:val="2"/>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rPr>
                <w:rFonts w:hint="default" w:ascii="宋体" w:hAnsi="宋体" w:eastAsia="宋体" w:cs="宋体"/>
                <w:i w:val="0"/>
                <w:iCs w:val="0"/>
                <w:color w:val="000000"/>
                <w:sz w:val="24"/>
                <w:szCs w:val="24"/>
                <w:u w:val="none"/>
                <w:lang w:val="en-US"/>
              </w:rPr>
            </w:pPr>
            <w:r>
              <w:rPr>
                <w:rFonts w:hint="eastAsia" w:ascii="仿宋_GB2312" w:hAnsi="仿宋_GB2312" w:eastAsia="仿宋_GB2312" w:cs="仿宋_GB2312"/>
                <w:i w:val="0"/>
                <w:iCs w:val="0"/>
                <w:color w:val="000000"/>
                <w:spacing w:val="-4"/>
                <w:kern w:val="0"/>
                <w:sz w:val="32"/>
                <w:szCs w:val="32"/>
                <w:u w:val="none"/>
                <w:lang w:val="en-US" w:eastAsia="zh-CN" w:bidi="ar"/>
              </w:rPr>
              <w:t>附件1</w:t>
            </w:r>
          </w:p>
        </w:tc>
        <w:tc>
          <w:tcPr>
            <w:tcW w:w="58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4"/>
                <w:szCs w:val="24"/>
                <w:u w:val="none"/>
              </w:rPr>
            </w:pPr>
          </w:p>
        </w:tc>
        <w:tc>
          <w:tcPr>
            <w:tcW w:w="1445"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rPr>
                <w:rFonts w:hint="eastAsia" w:ascii="宋体" w:hAnsi="宋体" w:eastAsia="宋体" w:cs="宋体"/>
                <w:i w:val="0"/>
                <w:iCs w:val="0"/>
                <w:color w:val="000000"/>
                <w:sz w:val="24"/>
                <w:szCs w:val="24"/>
                <w:u w:val="none"/>
              </w:rPr>
            </w:pPr>
          </w:p>
        </w:tc>
        <w:tc>
          <w:tcPr>
            <w:tcW w:w="2031"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000000"/>
                <w:sz w:val="24"/>
                <w:szCs w:val="24"/>
                <w:u w:val="none"/>
              </w:rPr>
            </w:pPr>
          </w:p>
        </w:tc>
        <w:tc>
          <w:tcPr>
            <w:tcW w:w="322" w:type="pct"/>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5000" w:type="pct"/>
            <w:gridSpan w:val="6"/>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方正小标宋_GBK" w:hAnsi="方正小标宋_GBK" w:eastAsia="方正小标宋_GBK" w:cs="方正小标宋_GBK"/>
                <w:b w:val="0"/>
                <w:bCs w:val="0"/>
                <w:i w:val="0"/>
                <w:iCs w:val="0"/>
                <w:color w:val="000000"/>
                <w:spacing w:val="-4"/>
                <w:kern w:val="0"/>
                <w:sz w:val="44"/>
                <w:szCs w:val="44"/>
                <w:u w:val="none"/>
                <w:lang w:val="en-US" w:eastAsia="zh-CN" w:bidi="ar"/>
              </w:rPr>
            </w:pPr>
            <w:r>
              <w:rPr>
                <w:rFonts w:hint="eastAsia" w:ascii="方正小标宋_GBK" w:hAnsi="方正小标宋_GBK" w:eastAsia="方正小标宋_GBK" w:cs="方正小标宋_GBK"/>
                <w:b w:val="0"/>
                <w:bCs w:val="0"/>
                <w:i w:val="0"/>
                <w:iCs w:val="0"/>
                <w:color w:val="000000"/>
                <w:spacing w:val="-4"/>
                <w:kern w:val="0"/>
                <w:sz w:val="44"/>
                <w:szCs w:val="44"/>
                <w:u w:val="none"/>
                <w:lang w:val="en-US" w:eastAsia="zh-CN" w:bidi="ar"/>
              </w:rPr>
              <w:t>自治区人民政府研究室、参事室（文史研究馆）项目支出</w:t>
            </w:r>
          </w:p>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b/>
                <w:bCs/>
                <w:i w:val="0"/>
                <w:iCs w:val="0"/>
                <w:color w:val="000000"/>
                <w:sz w:val="48"/>
                <w:szCs w:val="48"/>
                <w:u w:val="none"/>
              </w:rPr>
            </w:pPr>
            <w:r>
              <w:rPr>
                <w:rFonts w:hint="eastAsia" w:ascii="方正小标宋_GBK" w:hAnsi="方正小标宋_GBK" w:eastAsia="方正小标宋_GBK" w:cs="方正小标宋_GBK"/>
                <w:b w:val="0"/>
                <w:bCs w:val="0"/>
                <w:i w:val="0"/>
                <w:iCs w:val="0"/>
                <w:color w:val="000000"/>
                <w:spacing w:val="-4"/>
                <w:kern w:val="0"/>
                <w:sz w:val="44"/>
                <w:szCs w:val="44"/>
                <w:u w:val="none"/>
                <w:lang w:val="en-US" w:eastAsia="zh-CN" w:bidi="ar"/>
              </w:rPr>
              <w:t>绩效评价指标体系表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一级指标</w:t>
            </w: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二级指标</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三级指标</w:t>
            </w:r>
          </w:p>
        </w:tc>
        <w:tc>
          <w:tcPr>
            <w:tcW w:w="144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指标解释</w:t>
            </w:r>
          </w:p>
        </w:tc>
        <w:tc>
          <w:tcPr>
            <w:tcW w:w="20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指标说明及分值设定</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分值小计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0" w:hRule="atLeast"/>
        </w:trPr>
        <w:tc>
          <w:tcPr>
            <w:tcW w:w="3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决策</w:t>
            </w: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项目立项</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立项依据充分性、立项程序规范性</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1.立项是否符合法律法规、发展规划以及部门职责，用以反映和考核项目立项依据情况；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2.项目申请、设立过程是否符合相关要求，用以反映和考核项目立项规范情况。</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rFonts w:hint="eastAsia"/>
                <w:spacing w:val="-4"/>
                <w:lang w:val="en-US" w:eastAsia="zh-CN" w:bidi="ar"/>
              </w:rPr>
            </w:pPr>
            <w:r>
              <w:rPr>
                <w:rStyle w:val="15"/>
                <w:spacing w:val="-4"/>
                <w:lang w:val="en-US" w:eastAsia="zh-CN" w:bidi="ar"/>
              </w:rPr>
              <w:t>①项目立项符合国家法律法规、国民经济发展规划和相关政策（1分）；</w:t>
            </w:r>
            <w:r>
              <w:rPr>
                <w:rStyle w:val="15"/>
                <w:spacing w:val="-4"/>
                <w:lang w:val="en-US" w:eastAsia="zh-CN" w:bidi="ar"/>
              </w:rPr>
              <w:br w:type="textWrapping"/>
            </w:r>
            <w:r>
              <w:rPr>
                <w:rStyle w:val="15"/>
                <w:spacing w:val="-4"/>
                <w:lang w:val="en-US" w:eastAsia="zh-CN" w:bidi="ar"/>
              </w:rPr>
              <w:t>②项目立项符合行业发展规划和政策要求（1分）；</w:t>
            </w:r>
            <w:r>
              <w:rPr>
                <w:rStyle w:val="15"/>
                <w:spacing w:val="-4"/>
                <w:lang w:val="en-US" w:eastAsia="zh-CN" w:bidi="ar"/>
              </w:rPr>
              <w:br w:type="textWrapping"/>
            </w:r>
            <w:r>
              <w:rPr>
                <w:rStyle w:val="15"/>
                <w:spacing w:val="-4"/>
                <w:lang w:val="en-US" w:eastAsia="zh-CN" w:bidi="ar"/>
              </w:rPr>
              <w:t>③项目立项与部门职责范围相符，属于部门履职所需（1分）；</w:t>
            </w:r>
            <w:r>
              <w:rPr>
                <w:rStyle w:val="15"/>
                <w:spacing w:val="-4"/>
                <w:lang w:val="en-US" w:eastAsia="zh-CN" w:bidi="ar"/>
              </w:rPr>
              <w:br w:type="textWrapping"/>
            </w:r>
            <w:r>
              <w:rPr>
                <w:rStyle w:val="15"/>
                <w:spacing w:val="-4"/>
                <w:lang w:val="en-US" w:eastAsia="zh-CN" w:bidi="ar"/>
              </w:rPr>
              <w:t>④项目按照规定的程序申请设立，审批文件、材料符合相关要求（1分）；</w:t>
            </w:r>
            <w:r>
              <w:rPr>
                <w:rStyle w:val="15"/>
                <w:spacing w:val="-4"/>
                <w:lang w:val="en-US" w:eastAsia="zh-CN" w:bidi="ar"/>
              </w:rPr>
              <w:br w:type="textWrapping"/>
            </w:r>
            <w:r>
              <w:rPr>
                <w:rStyle w:val="15"/>
                <w:spacing w:val="-4"/>
                <w:lang w:val="en-US" w:eastAsia="zh-CN" w:bidi="ar"/>
              </w:rPr>
              <w:t xml:space="preserve">⑤事前是否已经过必要的可行性研究、专家论证、风险评估、绩效评估、集体决策（1分）。   </w:t>
            </w:r>
            <w:r>
              <w:rPr>
                <w:rStyle w:val="15"/>
                <w:rFonts w:hint="eastAsia"/>
                <w:spacing w:val="-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5"/>
                <w:spacing w:val="-4"/>
                <w:lang w:val="en-US" w:eastAsia="zh-CN" w:bidi="ar"/>
              </w:rPr>
              <w:t xml:space="preserve"> </w:t>
            </w:r>
            <w:r>
              <w:rPr>
                <w:rStyle w:val="16"/>
                <w:spacing w:val="-4"/>
                <w:lang w:val="en-US" w:eastAsia="zh-CN" w:bidi="ar"/>
              </w:rPr>
              <w:t>注：符合、是，则得分；不符合、否，则不得分。</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绩效目标</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绩效目标合理性、绩效指标明确性</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1.项目所设定的绩效目标是否依据充分，是否符合客观实际，用以反映和考核项目绩效目标与项目实施的相符情况；                                   2.依据绩效目标设定的绩效指标是否清晰、细化、可衡量等，用以反映和考核项目绩效目标的明细化情况。</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5"/>
                <w:spacing w:val="-4"/>
                <w:lang w:val="en-US" w:eastAsia="zh-CN" w:bidi="ar"/>
              </w:rPr>
              <w:t>①项目是否有绩效目标（2分）；</w:t>
            </w:r>
            <w:r>
              <w:rPr>
                <w:rStyle w:val="15"/>
                <w:spacing w:val="-4"/>
                <w:lang w:val="en-US" w:eastAsia="zh-CN" w:bidi="ar"/>
              </w:rPr>
              <w:br w:type="textWrapping"/>
            </w:r>
            <w:r>
              <w:rPr>
                <w:rStyle w:val="15"/>
                <w:spacing w:val="-4"/>
                <w:lang w:val="en-US" w:eastAsia="zh-CN" w:bidi="ar"/>
              </w:rPr>
              <w:t>②项目绩效目标与实际工作内容是否具有相关性（2分）；</w:t>
            </w:r>
            <w:r>
              <w:rPr>
                <w:rStyle w:val="15"/>
                <w:spacing w:val="-4"/>
                <w:lang w:val="en-US" w:eastAsia="zh-CN" w:bidi="ar"/>
              </w:rPr>
              <w:br w:type="textWrapping"/>
            </w:r>
            <w:r>
              <w:rPr>
                <w:rStyle w:val="15"/>
                <w:spacing w:val="-4"/>
                <w:lang w:val="en-US" w:eastAsia="zh-CN" w:bidi="ar"/>
              </w:rPr>
              <w:t>③项目预期产出效益和效果是否符合正常的业绩水平（2分）；</w:t>
            </w:r>
            <w:r>
              <w:rPr>
                <w:rStyle w:val="15"/>
                <w:spacing w:val="-4"/>
                <w:lang w:val="en-US" w:eastAsia="zh-CN" w:bidi="ar"/>
              </w:rPr>
              <w:br w:type="textWrapping"/>
            </w:r>
            <w:r>
              <w:rPr>
                <w:rStyle w:val="15"/>
                <w:spacing w:val="-4"/>
                <w:lang w:val="en-US" w:eastAsia="zh-CN" w:bidi="ar"/>
              </w:rPr>
              <w:t>④是否将项目绩效目标细化分解为具体的绩效指标（2分）；</w:t>
            </w:r>
            <w:r>
              <w:rPr>
                <w:rStyle w:val="15"/>
                <w:spacing w:val="-4"/>
                <w:lang w:val="en-US" w:eastAsia="zh-CN" w:bidi="ar"/>
              </w:rPr>
              <w:br w:type="textWrapping"/>
            </w:r>
            <w:r>
              <w:rPr>
                <w:rStyle w:val="15"/>
                <w:spacing w:val="-4"/>
                <w:lang w:val="en-US" w:eastAsia="zh-CN" w:bidi="ar"/>
              </w:rPr>
              <w:t>⑤是否与项目目标任务数或计划数相对应（2分）。</w:t>
            </w:r>
            <w:r>
              <w:rPr>
                <w:rStyle w:val="16"/>
                <w:spacing w:val="-4"/>
                <w:lang w:val="en-US" w:eastAsia="zh-CN" w:bidi="ar"/>
              </w:rPr>
              <w:t>注：是，则得分；否，则不得分。</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资金投入</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预算编制科学性、资金分配合理性</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1.项目预算编制是否经过科学论证、有明确标准，资金额度与年度目标是否相适应，用以反映和考核项目预算编制的科学性、合理性情况；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2.项目预算资金分配是否有测算依据，与补助单位或地方实际是否相适应，用以反映和考核项目预算资金分配的科学性、合理性情况。</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7"/>
                <w:spacing w:val="-4"/>
                <w:lang w:val="en-US" w:eastAsia="zh-CN" w:bidi="ar"/>
              </w:rPr>
              <w:t>①预算编制是否经过科学论证（1分）；</w:t>
            </w:r>
            <w:r>
              <w:rPr>
                <w:rStyle w:val="17"/>
                <w:spacing w:val="-4"/>
                <w:lang w:val="en-US" w:eastAsia="zh-CN" w:bidi="ar"/>
              </w:rPr>
              <w:br w:type="textWrapping"/>
            </w:r>
            <w:r>
              <w:rPr>
                <w:rStyle w:val="17"/>
                <w:spacing w:val="-4"/>
                <w:lang w:val="en-US" w:eastAsia="zh-CN" w:bidi="ar"/>
              </w:rPr>
              <w:t>②预算内容是否与项目内容匹配（1分）；</w:t>
            </w:r>
            <w:r>
              <w:rPr>
                <w:rStyle w:val="17"/>
                <w:spacing w:val="-4"/>
                <w:lang w:val="en-US" w:eastAsia="zh-CN" w:bidi="ar"/>
              </w:rPr>
              <w:br w:type="textWrapping"/>
            </w:r>
            <w:r>
              <w:rPr>
                <w:rStyle w:val="17"/>
                <w:spacing w:val="-4"/>
                <w:lang w:val="en-US" w:eastAsia="zh-CN" w:bidi="ar"/>
              </w:rPr>
              <w:t>③预算额度测算依据是否充分，是否按照标准编制（1分）；</w:t>
            </w:r>
            <w:r>
              <w:rPr>
                <w:rStyle w:val="17"/>
                <w:spacing w:val="-4"/>
                <w:lang w:val="en-US" w:eastAsia="zh-CN" w:bidi="ar"/>
              </w:rPr>
              <w:br w:type="textWrapping"/>
            </w:r>
            <w:r>
              <w:rPr>
                <w:rStyle w:val="17"/>
                <w:spacing w:val="-4"/>
                <w:lang w:val="en-US" w:eastAsia="zh-CN" w:bidi="ar"/>
              </w:rPr>
              <w:t>④预算确定的项目投资额或资金量是否与工作任务相匹配（1分）；</w:t>
            </w:r>
            <w:r>
              <w:rPr>
                <w:rStyle w:val="17"/>
                <w:spacing w:val="-4"/>
                <w:lang w:val="en-US" w:eastAsia="zh-CN" w:bidi="ar"/>
              </w:rPr>
              <w:br w:type="textWrapping"/>
            </w:r>
            <w:r>
              <w:rPr>
                <w:rStyle w:val="17"/>
                <w:spacing w:val="-4"/>
                <w:lang w:val="en-US" w:eastAsia="zh-CN" w:bidi="ar"/>
              </w:rPr>
              <w:t>⑤预算资金分配依据是否充分（1分）。</w:t>
            </w:r>
            <w:r>
              <w:rPr>
                <w:rStyle w:val="17"/>
                <w:spacing w:val="-4"/>
                <w:lang w:val="en-US" w:eastAsia="zh-CN" w:bidi="ar"/>
              </w:rPr>
              <w:br w:type="textWrapping"/>
            </w:r>
            <w:r>
              <w:rPr>
                <w:rStyle w:val="18"/>
                <w:spacing w:val="-4"/>
                <w:lang w:val="en-US" w:eastAsia="zh-CN" w:bidi="ar"/>
              </w:rPr>
              <w:t>注：是，则得分；否，则不得分。</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5" w:hRule="atLeast"/>
        </w:trPr>
        <w:tc>
          <w:tcPr>
            <w:tcW w:w="3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过程</w:t>
            </w: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资金管理</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资金到位率、预算执行率、资金使用合规性</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1.实际到位资金与预算资金的比率，用以反映和考核资金落实情况对项目实施的总体保障程度；</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2.项目预算资金是否按照计划执行，用以反映或考核项目预算执行情况；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3.项目资金使用是否符合相关的财务管理制度规定，用以反映和考核项目资金的规范运行情况。</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7"/>
                <w:spacing w:val="-4"/>
                <w:lang w:val="en-US" w:eastAsia="zh-CN" w:bidi="ar"/>
              </w:rPr>
              <w:t>①资金到位率是否=100%（2分）</w:t>
            </w:r>
            <w:r>
              <w:rPr>
                <w:rStyle w:val="17"/>
                <w:spacing w:val="-4"/>
                <w:lang w:val="en-US" w:eastAsia="zh-CN" w:bidi="ar"/>
              </w:rPr>
              <w:br w:type="textWrapping"/>
            </w:r>
            <w:r>
              <w:rPr>
                <w:rStyle w:val="17"/>
                <w:spacing w:val="-4"/>
                <w:lang w:val="en-US" w:eastAsia="zh-CN" w:bidi="ar"/>
              </w:rPr>
              <w:t>②预算执行率是否=100%（2分）</w:t>
            </w:r>
            <w:r>
              <w:rPr>
                <w:rStyle w:val="17"/>
                <w:spacing w:val="-4"/>
                <w:lang w:val="en-US" w:eastAsia="zh-CN" w:bidi="ar"/>
              </w:rPr>
              <w:br w:type="textWrapping"/>
            </w:r>
            <w:r>
              <w:rPr>
                <w:rStyle w:val="17"/>
                <w:spacing w:val="-4"/>
                <w:lang w:val="en-US" w:eastAsia="zh-CN" w:bidi="ar"/>
              </w:rPr>
              <w:t>③是否符合国家财经法规和财务管理制度以及有关专项资金管理办法的规定，是否有完整的审批程序和手续（2分）；</w:t>
            </w:r>
            <w:r>
              <w:rPr>
                <w:rStyle w:val="17"/>
                <w:spacing w:val="-4"/>
                <w:lang w:val="en-US" w:eastAsia="zh-CN" w:bidi="ar"/>
              </w:rPr>
              <w:br w:type="textWrapping"/>
            </w:r>
            <w:r>
              <w:rPr>
                <w:rStyle w:val="17"/>
                <w:spacing w:val="-4"/>
                <w:lang w:val="en-US" w:eastAsia="zh-CN" w:bidi="ar"/>
              </w:rPr>
              <w:t>④是否符合项目预算批复或合同规定的用途（2分）；</w:t>
            </w:r>
            <w:r>
              <w:rPr>
                <w:rStyle w:val="17"/>
                <w:spacing w:val="-4"/>
                <w:lang w:val="en-US" w:eastAsia="zh-CN" w:bidi="ar"/>
              </w:rPr>
              <w:br w:type="textWrapping"/>
            </w:r>
            <w:r>
              <w:rPr>
                <w:rStyle w:val="17"/>
                <w:spacing w:val="-4"/>
                <w:lang w:val="en-US" w:eastAsia="zh-CN" w:bidi="ar"/>
              </w:rPr>
              <w:t>⑤不存在截留、挤占、挪用、虚列支出等情况（2分），</w:t>
            </w:r>
            <w:r>
              <w:rPr>
                <w:rStyle w:val="17"/>
                <w:spacing w:val="-4"/>
                <w:lang w:val="en-US" w:eastAsia="zh-CN" w:bidi="ar"/>
              </w:rPr>
              <w:br w:type="textWrapping"/>
            </w:r>
            <w:r>
              <w:rPr>
                <w:rStyle w:val="18"/>
                <w:spacing w:val="-4"/>
                <w:lang w:val="en-US" w:eastAsia="zh-CN" w:bidi="ar"/>
              </w:rPr>
              <w:t>注：是、不存在，则得分；否、存在，则不得分。</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组织实施</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管理制度健全性、制度执行有效性</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1.项目实施财务和业务管理制度是否健全，用以反映和考核财务和业务管理制度对项目顺利实施的保障情况；                                         2.项目实施是否符合相关管理规定，用以反映和考核相关管理制度的有效执行情况。</w:t>
            </w:r>
          </w:p>
        </w:tc>
        <w:tc>
          <w:tcPr>
            <w:tcW w:w="203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7"/>
                <w:spacing w:val="-4"/>
                <w:lang w:val="en-US" w:eastAsia="zh-CN" w:bidi="ar"/>
              </w:rPr>
            </w:pPr>
            <w:r>
              <w:rPr>
                <w:rStyle w:val="17"/>
                <w:spacing w:val="-4"/>
                <w:lang w:val="en-US" w:eastAsia="zh-CN" w:bidi="ar"/>
              </w:rPr>
              <w:t>①是否已制定或具有相应的财务和业务管理制度（1分）；</w:t>
            </w:r>
            <w:r>
              <w:rPr>
                <w:rStyle w:val="17"/>
                <w:spacing w:val="-4"/>
                <w:lang w:val="en-US" w:eastAsia="zh-CN" w:bidi="ar"/>
              </w:rPr>
              <w:br w:type="textWrapping"/>
            </w:r>
            <w:r>
              <w:rPr>
                <w:rStyle w:val="17"/>
                <w:spacing w:val="-4"/>
                <w:lang w:val="en-US" w:eastAsia="zh-CN" w:bidi="ar"/>
              </w:rPr>
              <w:t>②财务和业务管理制度是否合法、合规、完整（1分）；                                ③是否遵守相关法律法规和相关管理规定（1分）；</w:t>
            </w:r>
            <w:r>
              <w:rPr>
                <w:rStyle w:val="17"/>
                <w:spacing w:val="-4"/>
                <w:lang w:val="en-US" w:eastAsia="zh-CN" w:bidi="ar"/>
              </w:rPr>
              <w:br w:type="textWrapping"/>
            </w:r>
            <w:r>
              <w:rPr>
                <w:rStyle w:val="17"/>
                <w:spacing w:val="-4"/>
                <w:lang w:val="en-US" w:eastAsia="zh-CN" w:bidi="ar"/>
              </w:rPr>
              <w:t>④项目合同书、验收报告、技术鉴定等资料是否齐全并及时归档（1分）；</w:t>
            </w:r>
            <w:r>
              <w:rPr>
                <w:rStyle w:val="17"/>
                <w:spacing w:val="-4"/>
                <w:lang w:val="en-US" w:eastAsia="zh-CN" w:bidi="ar"/>
              </w:rPr>
              <w:br w:type="textWrapping"/>
            </w:r>
            <w:r>
              <w:rPr>
                <w:rStyle w:val="17"/>
                <w:spacing w:val="-4"/>
                <w:lang w:val="en-US" w:eastAsia="zh-CN" w:bidi="ar"/>
              </w:rPr>
              <w:t xml:space="preserve">⑤项目实施的人员条件、场地设备、信息支撑等是否落实到位（1分）。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8"/>
                <w:spacing w:val="-4"/>
                <w:lang w:val="en-US" w:eastAsia="zh-CN" w:bidi="ar"/>
              </w:rPr>
              <w:t>注：是，则得分；否，则不得分。</w:t>
            </w:r>
          </w:p>
        </w:tc>
        <w:tc>
          <w:tcPr>
            <w:tcW w:w="322" w:type="pc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产出</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产出数量</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实际完成率</w:t>
            </w:r>
          </w:p>
        </w:tc>
        <w:tc>
          <w:tcPr>
            <w:tcW w:w="144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1.对照项目支出绩效目标表中数量指标进行逐项评价；                                          2.项目实施的实际产出数与计划产出数的比率，用以反映和考核项目产出数量目标的实现程度。</w:t>
            </w:r>
          </w:p>
        </w:tc>
        <w:tc>
          <w:tcPr>
            <w:tcW w:w="203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①课题研究数量、起草课题报告数量完成率（10分）；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②调研、访谈次数完成率（5分）；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③向自治区人民政府领导提出建议数量完成率（5分）。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6"/>
                <w:spacing w:val="-4"/>
                <w:lang w:val="en-US" w:eastAsia="zh-CN" w:bidi="ar"/>
              </w:rPr>
              <w:t>注：该指标完成100%或上幅度20%以内得满分；完成下幅度20%以内的，按照满分乘以完成率计算得分；完成上下幅度20%以上的不得分。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4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203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4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203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产出质量</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质量达标率</w:t>
            </w:r>
          </w:p>
        </w:tc>
        <w:tc>
          <w:tcPr>
            <w:tcW w:w="144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1.对照项目支出绩效目标表中质量指标进行逐项评价；                                         2.项目完成的质量达标产出数与实际产出数的比率，用以反映和考核项目产出质量目标的实现程度。</w:t>
            </w:r>
          </w:p>
        </w:tc>
        <w:tc>
          <w:tcPr>
            <w:tcW w:w="2031" w:type="pct"/>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①课题研究合格率（5分）；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②课题经费保障率（5分）。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6"/>
                <w:spacing w:val="-4"/>
                <w:lang w:val="en-US" w:eastAsia="zh-CN" w:bidi="ar"/>
              </w:rPr>
              <w:t>注：该指标完成100%得满分；完成下幅度20%以内的，按照满分乘以完成率计算得分；完成下幅度20%以上的不得分。</w:t>
            </w:r>
          </w:p>
        </w:tc>
        <w:tc>
          <w:tcPr>
            <w:tcW w:w="322" w:type="pct"/>
            <w:vMerge w:val="restart"/>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4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2031" w:type="pct"/>
            <w:vMerge w:val="continue"/>
            <w:tcBorders>
              <w:top w:val="nil"/>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322" w:type="pct"/>
            <w:vMerge w:val="continue"/>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产出时效</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完成及时性</w:t>
            </w:r>
          </w:p>
        </w:tc>
        <w:tc>
          <w:tcPr>
            <w:tcW w:w="144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1.对照项目支出绩效目标表中时效指标进行逐项评价；                                         2.项目实际完成时间与计划完成时间的比较，用以反映和考核项目产出时效目标的实现程度。</w:t>
            </w:r>
          </w:p>
        </w:tc>
        <w:tc>
          <w:tcPr>
            <w:tcW w:w="203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5"/>
                <w:spacing w:val="-4"/>
                <w:lang w:val="en-US" w:eastAsia="zh-CN" w:bidi="ar"/>
              </w:rPr>
              <w:t xml:space="preserve">①课题研究按时开展率（2分）；                ②课题研究按时完成率（3分）。                 </w:t>
            </w:r>
            <w:r>
              <w:rPr>
                <w:rStyle w:val="16"/>
                <w:spacing w:val="-4"/>
                <w:lang w:val="en-US" w:eastAsia="zh-CN" w:bidi="ar"/>
              </w:rPr>
              <w:t>注：该指标100%完成得满分；完成上下幅度20%以内的，按照满分乘以完成率计算得分；完成上下幅度20%以上的不得分。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4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203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产出成本</w:t>
            </w:r>
          </w:p>
        </w:tc>
        <w:tc>
          <w:tcPr>
            <w:tcW w:w="58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成本节约率</w:t>
            </w:r>
          </w:p>
        </w:tc>
        <w:tc>
          <w:tcPr>
            <w:tcW w:w="144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1.对照项目支出绩效目标表中成本指标进行逐项评价；                                         2.完成项目计划工作目标的实际节约成本与计划成本的比率，用以反映和考核项目的成本节约程度。</w:t>
            </w:r>
          </w:p>
        </w:tc>
        <w:tc>
          <w:tcPr>
            <w:tcW w:w="2031"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①调查研究费用节约率（5分）；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②资料收集和报告撰写费用节约率（3分）；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Style w:val="15"/>
                <w:spacing w:val="-4"/>
                <w:lang w:val="en-US" w:eastAsia="zh-CN" w:bidi="ar"/>
              </w:rPr>
            </w:pPr>
            <w:r>
              <w:rPr>
                <w:rStyle w:val="15"/>
                <w:spacing w:val="-4"/>
                <w:lang w:val="en-US" w:eastAsia="zh-CN" w:bidi="ar"/>
              </w:rPr>
              <w:t xml:space="preserve">③成果推广费用节约率（2分）。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6"/>
                <w:spacing w:val="-4"/>
                <w:lang w:val="en-US" w:eastAsia="zh-CN" w:bidi="ar"/>
              </w:rPr>
              <w:t>注：该指标完成100%或下幅度20%以内得满分；完成上幅度20%以内的，按照满分乘以完成率计算得分；完成上下幅度20%以上的不得分。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44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2031"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5" w:hRule="atLeast"/>
        </w:trPr>
        <w:tc>
          <w:tcPr>
            <w:tcW w:w="3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效益</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项目效益</w:t>
            </w: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实施效益</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项目实施所产生的效益。</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pacing w:val="-4"/>
                <w:kern w:val="0"/>
                <w:sz w:val="28"/>
                <w:szCs w:val="28"/>
                <w:u w:val="none"/>
                <w:lang w:val="en-US" w:eastAsia="zh-CN" w:bidi="ar"/>
              </w:rPr>
            </w:pPr>
            <w:r>
              <w:rPr>
                <w:rFonts w:hint="eastAsia" w:ascii="宋体" w:hAnsi="宋体" w:eastAsia="宋体" w:cs="宋体"/>
                <w:i w:val="0"/>
                <w:iCs w:val="0"/>
                <w:color w:val="000000"/>
                <w:spacing w:val="-4"/>
                <w:kern w:val="0"/>
                <w:sz w:val="28"/>
                <w:szCs w:val="28"/>
                <w:u w:val="none"/>
                <w:lang w:val="en-US" w:eastAsia="zh-CN" w:bidi="ar"/>
              </w:rPr>
              <w:t xml:space="preserve">①推动经济发展政策建议是否被采纳（5分）；    ②是否为政府主要领导推动社会发展决策提供支撑（5分）。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6"/>
                <w:spacing w:val="-4"/>
                <w:lang w:val="en-US" w:eastAsia="zh-CN" w:bidi="ar"/>
              </w:rPr>
              <w:t>注：1.是，则得分；否，则不得分；2.对于不设满意度的项目其分值平均分配到此指标中。</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5" w:hRule="atLeast"/>
        </w:trPr>
        <w:tc>
          <w:tcPr>
            <w:tcW w:w="3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5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满意度</w:t>
            </w:r>
          </w:p>
        </w:tc>
        <w:tc>
          <w:tcPr>
            <w:tcW w:w="1445"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服务对象对项目实施效果的满意程度。</w:t>
            </w:r>
          </w:p>
        </w:tc>
        <w:tc>
          <w:tcPr>
            <w:tcW w:w="20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pacing w:val="-4"/>
                <w:kern w:val="0"/>
                <w:sz w:val="28"/>
                <w:szCs w:val="28"/>
                <w:u w:val="none"/>
                <w:lang w:val="en-US" w:eastAsia="zh-CN" w:bidi="ar"/>
              </w:rPr>
            </w:pPr>
            <w:r>
              <w:rPr>
                <w:rFonts w:hint="eastAsia" w:ascii="宋体" w:hAnsi="宋体" w:eastAsia="宋体" w:cs="宋体"/>
                <w:i w:val="0"/>
                <w:iCs w:val="0"/>
                <w:color w:val="000000"/>
                <w:spacing w:val="-4"/>
                <w:kern w:val="0"/>
                <w:sz w:val="28"/>
                <w:szCs w:val="28"/>
                <w:u w:val="none"/>
                <w:lang w:val="en-US" w:eastAsia="zh-CN" w:bidi="ar"/>
              </w:rPr>
              <w:t>根据问卷调查，政府参事、文史馆员满意度：                                      ①等于100%，得10分；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②大于等于85%，小于100%，得7分；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③大于等于70%，小于85%，得3分；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 xml:space="preserve">④小于70%，不得分。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Style w:val="16"/>
                <w:spacing w:val="-4"/>
                <w:lang w:val="en-US" w:eastAsia="zh-CN" w:bidi="ar"/>
              </w:rPr>
              <w:t>注：对于不设满意度的项目其分值调整到实施效益中。</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4677"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pacing w:val="-4"/>
                <w:kern w:val="0"/>
                <w:sz w:val="32"/>
                <w:szCs w:val="32"/>
                <w:u w:val="none"/>
                <w:lang w:val="en-US" w:eastAsia="zh-CN" w:bidi="ar"/>
              </w:rPr>
              <w:t>合计</w:t>
            </w:r>
          </w:p>
        </w:tc>
        <w:tc>
          <w:tcPr>
            <w:tcW w:w="3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100</w:t>
            </w:r>
          </w:p>
        </w:tc>
      </w:tr>
    </w:tbl>
    <w:p>
      <w:pPr>
        <w:pStyle w:val="2"/>
        <w:ind w:left="0" w:leftChars="0" w:firstLine="0" w:firstLineChars="0"/>
        <w:sectPr>
          <w:footerReference r:id="rId6" w:type="default"/>
          <w:pgSz w:w="16838" w:h="11906" w:orient="landscape"/>
          <w:pgMar w:top="1134" w:right="1134" w:bottom="1134" w:left="1134" w:header="851" w:footer="1417" w:gutter="0"/>
          <w:pgBorders w:offsetFrom="page">
            <w:top w:val="none" w:sz="0" w:space="0"/>
            <w:left w:val="none" w:sz="0" w:space="0"/>
            <w:bottom w:val="none" w:sz="0" w:space="0"/>
            <w:right w:val="none" w:sz="0" w:space="0"/>
          </w:pgBorders>
          <w:pgNumType w:fmt="decimal"/>
          <w:cols w:space="0" w:num="1"/>
          <w:rtlGutter w:val="0"/>
          <w:docGrid w:type="linesAndChars" w:linePitch="579" w:charSpace="0"/>
        </w:sectPr>
      </w:pPr>
    </w:p>
    <w:tbl>
      <w:tblPr>
        <w:tblStyle w:val="8"/>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5"/>
        <w:gridCol w:w="1125"/>
        <w:gridCol w:w="1470"/>
        <w:gridCol w:w="4095"/>
        <w:gridCol w:w="5194"/>
        <w:gridCol w:w="1014"/>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080" w:type="dxa"/>
            <w:gridSpan w:val="2"/>
            <w:tcBorders>
              <w:top w:val="nil"/>
              <w:left w:val="nil"/>
              <w:bottom w:val="nil"/>
              <w:right w:val="nil"/>
            </w:tcBorders>
            <w:shd w:val="clear" w:color="auto" w:fill="auto"/>
            <w:noWrap/>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仿宋_GB2312" w:hAnsi="仿宋_GB2312" w:eastAsia="仿宋_GB2312" w:cs="仿宋_GB2312"/>
                <w:i w:val="0"/>
                <w:iCs w:val="0"/>
                <w:color w:val="000000"/>
                <w:spacing w:val="-4"/>
                <w:kern w:val="0"/>
                <w:sz w:val="32"/>
                <w:szCs w:val="32"/>
                <w:u w:val="none"/>
                <w:lang w:val="en-US" w:eastAsia="zh-CN" w:bidi="ar"/>
              </w:rPr>
              <w:t>附件2</w:t>
            </w:r>
          </w:p>
        </w:tc>
        <w:tc>
          <w:tcPr>
            <w:tcW w:w="1470" w:type="dxa"/>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09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519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101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4693" w:type="dxa"/>
            <w:gridSpan w:val="7"/>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center"/>
              <w:rPr>
                <w:rFonts w:hint="eastAsia" w:ascii="宋体" w:hAnsi="宋体" w:eastAsia="宋体" w:cs="宋体"/>
                <w:b/>
                <w:bCs/>
                <w:i w:val="0"/>
                <w:iCs w:val="0"/>
                <w:color w:val="000000"/>
                <w:sz w:val="48"/>
                <w:szCs w:val="48"/>
                <w:u w:val="none"/>
              </w:rPr>
            </w:pPr>
            <w:r>
              <w:rPr>
                <w:rFonts w:hint="eastAsia" w:ascii="方正小标宋_GBK" w:hAnsi="方正小标宋_GBK" w:eastAsia="方正小标宋_GBK" w:cs="方正小标宋_GBK"/>
                <w:b w:val="0"/>
                <w:bCs w:val="0"/>
                <w:i w:val="0"/>
                <w:iCs w:val="0"/>
                <w:color w:val="000000"/>
                <w:spacing w:val="-4"/>
                <w:kern w:val="0"/>
                <w:sz w:val="44"/>
                <w:szCs w:val="44"/>
                <w:u w:val="none"/>
                <w:lang w:val="en-US" w:eastAsia="zh-CN" w:bidi="ar"/>
              </w:rPr>
              <w:t>自治区人民政府研究室、参事室（文史研究馆）项目支出绩效评价评分表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二级指标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三级指标</w:t>
            </w:r>
          </w:p>
        </w:tc>
        <w:tc>
          <w:tcPr>
            <w:tcW w:w="40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指标解释</w:t>
            </w:r>
          </w:p>
        </w:tc>
        <w:tc>
          <w:tcPr>
            <w:tcW w:w="51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指标说明及分值设定</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评价结论</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spacing w:val="-4"/>
                <w:kern w:val="0"/>
                <w:sz w:val="32"/>
                <w:szCs w:val="3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0" w:hRule="atLeast"/>
        </w:trPr>
        <w:tc>
          <w:tcPr>
            <w:tcW w:w="9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决策</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项目立项</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立项依据充分性、立项程序规范性</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1.立项是否符合法律法规、发展规划以及部门职责，用以反映和考核项目立项依据情况；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2.项目申请、设立过程是否符合相关要求，用以反映和考核项目立项规范情况。</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pacing w:val="-4"/>
                <w:kern w:val="0"/>
                <w:sz w:val="28"/>
                <w:szCs w:val="28"/>
                <w:u w:val="none"/>
                <w:lang w:val="en-US" w:eastAsia="zh-CN" w:bidi="ar"/>
              </w:rPr>
            </w:pPr>
            <w:r>
              <w:rPr>
                <w:rFonts w:hint="eastAsia" w:ascii="宋体" w:hAnsi="宋体" w:eastAsia="宋体" w:cs="宋体"/>
                <w:i w:val="0"/>
                <w:iCs w:val="0"/>
                <w:color w:val="000000"/>
                <w:spacing w:val="-4"/>
                <w:kern w:val="0"/>
                <w:sz w:val="28"/>
                <w:szCs w:val="28"/>
                <w:u w:val="none"/>
                <w:lang w:val="en-US" w:eastAsia="zh-CN" w:bidi="ar"/>
              </w:rPr>
              <w:t>①项目立项符合国家法律法规、国民经济发展规划和相关政策（1分）；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②项目立项符合行业发展规划和政策要求（1分）；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③项目立项与部门职责范围相符，属于部门履职所需（1分）；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④项目按照规定的程序申请设立，审批文件、材料符合相关要求（1分）；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 xml:space="preserve">⑤事前是否已经过必要的可行性研究、专家论证、风险评估、绩效评估、集体决策（1分）。    </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注：符合、是，则得分；不符合、否，则不得分。</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是、符合</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5"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绩效目标</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绩效目标合理性、绩效指标明确性</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1.项目所设定的绩效目标是否依据充分，是否符合客观实际，用以反映和考核项目绩效目标与项目实施的相符情况；                                   2.依据绩效目标设定的绩效指标是否清晰、细化、可衡量等，用以反映和考核项目绩效目标的明细化情况。</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pacing w:val="-4"/>
                <w:kern w:val="0"/>
                <w:sz w:val="28"/>
                <w:szCs w:val="28"/>
                <w:u w:val="none"/>
                <w:lang w:val="en-US" w:eastAsia="zh-CN" w:bidi="ar"/>
              </w:rPr>
            </w:pPr>
            <w:r>
              <w:rPr>
                <w:rFonts w:hint="eastAsia" w:ascii="宋体" w:hAnsi="宋体" w:eastAsia="宋体" w:cs="宋体"/>
                <w:i w:val="0"/>
                <w:iCs w:val="0"/>
                <w:color w:val="000000"/>
                <w:spacing w:val="-4"/>
                <w:kern w:val="0"/>
                <w:sz w:val="28"/>
                <w:szCs w:val="28"/>
                <w:u w:val="none"/>
                <w:lang w:val="en-US" w:eastAsia="zh-CN" w:bidi="ar"/>
              </w:rPr>
              <w:t>①项目是否有绩效目标（2分）；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②项目绩效目标与实际工作内容是否具有相关性（2分）；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③项目预期产出效益和效果是否符合正常的业绩水平（2分）；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④是否将项目绩效目标细化分解为具体的绩效指标（2分）；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⑤是否与项目目标任务数或计划数相对应（2分）。</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注：是，则得分；否，则不得分。</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default" w:ascii="宋体" w:hAnsi="宋体" w:eastAsia="宋体" w:cs="宋体"/>
                <w:i w:val="0"/>
                <w:iCs w:val="0"/>
                <w:color w:val="000000"/>
                <w:sz w:val="28"/>
                <w:szCs w:val="28"/>
                <w:u w:val="none"/>
                <w:lang w:val="en-US" w:eastAsia="zh-CN"/>
              </w:rPr>
            </w:pPr>
            <w:r>
              <w:rPr>
                <w:rFonts w:hint="eastAsia" w:ascii="宋体" w:hAnsi="宋体" w:eastAsia="宋体" w:cs="宋体"/>
                <w:i w:val="0"/>
                <w:iCs w:val="0"/>
                <w:color w:val="000000"/>
                <w:sz w:val="28"/>
                <w:szCs w:val="2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资金投入</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预算编制科学性、资金分配合理性</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1.项目预算编制是否经过科学论证、有明确标准，资金额度与年度目标是否相适应，用以反映和考核项目预算编制的科学性、合理性情况；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2.项目预算资金分配是否有测算依据，与补助单位或地方实际是否相适应，用以反映和考核项目预算资金分配的科学性、合理性情况。</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①预算编制是否经过科学论证（1分）；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②预算内容是否与项目内容匹配（1分）；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③预算额度测算依据是否充分，是否按照标准编制（1分）；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④预算确定的项目投资额或资金量是否与工作任务相匹配（1分）；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⑤预算资金分配依据是否充分（1分）。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b/>
                <w:bCs/>
                <w:i w:val="0"/>
                <w:iCs w:val="0"/>
                <w:color w:val="000000"/>
                <w:spacing w:val="-4"/>
                <w:kern w:val="0"/>
                <w:sz w:val="28"/>
                <w:szCs w:val="28"/>
                <w:u w:val="none"/>
                <w:lang w:val="en-US" w:eastAsia="zh-CN" w:bidi="ar"/>
              </w:rPr>
              <w:t>注：是，则得分；否，则不得分。</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5" w:hRule="atLeast"/>
        </w:trPr>
        <w:tc>
          <w:tcPr>
            <w:tcW w:w="9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过程</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资金管理</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资金到位率、预算执行率、资金使用合规性</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1.实际到位资金与预算资金的比率，用以反映和考核资金落实情况对项目实施的总体保障程度；</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2.项目预算资金是否按照计划执行，用以反映或考核项目预算执行情况；</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3.项目资金使用是否符合相关的财务管理制度规定，用以反映和考核项目资金的规范运行情况。</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①资金到位率是否=100%（2分）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②预算执行率是否=100%（2分）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③是否符合国家财经法规和财务管理制度以及有关专项资金管理办法的规定，是否有完整的审批程序和手续（2分）；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④是否符合项目预算批复或合同规定的用途（2分）；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⑤不存在截留、挤占、挪用、虚列支出等情况（2分），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b/>
                <w:bCs/>
                <w:i w:val="0"/>
                <w:iCs w:val="0"/>
                <w:color w:val="000000"/>
                <w:spacing w:val="-4"/>
                <w:kern w:val="0"/>
                <w:sz w:val="28"/>
                <w:szCs w:val="28"/>
                <w:u w:val="none"/>
                <w:lang w:val="en-US" w:eastAsia="zh-CN" w:bidi="ar"/>
              </w:rPr>
              <w:t>注：是、不存在，则得分；否、存在，则不得分。</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是、不存在</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组织实施</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管理制度健全性、制度执行有效性</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1.项目实施财务和业务管理制度是否健全，用以反映和考核财务和业务管理制度对项目顺利实施的保障情况；                                         2.项目实施是否符合相关管理规定，用以反映和考核相关管理制度的有效执行情况。</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①是否已制定或具有相应的财务和业务管理制度（1分）；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②财务和业务管理制度是否合法、合规、完整（1分）；                                ③是否遵守相关法律法规和相关管理规定（1分）；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④项目合同书、验收报告、技术鉴定等资料是否齐全并及时归档（1分）；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 xml:space="preserve">⑤项目实施的人员条件、场地设备、信息支撑等是否落实到位（1分）。                  </w:t>
            </w:r>
            <w:r>
              <w:rPr>
                <w:rFonts w:hint="eastAsia" w:ascii="宋体" w:hAnsi="宋体" w:eastAsia="宋体" w:cs="宋体"/>
                <w:b/>
                <w:bCs/>
                <w:i w:val="0"/>
                <w:iCs w:val="0"/>
                <w:color w:val="000000"/>
                <w:spacing w:val="-4"/>
                <w:kern w:val="0"/>
                <w:sz w:val="28"/>
                <w:szCs w:val="28"/>
                <w:u w:val="none"/>
                <w:lang w:val="en-US" w:eastAsia="zh-CN" w:bidi="ar"/>
              </w:rPr>
              <w:t>注：是，则得分；否，则不得分。</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产出</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产出数量</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实际完成率</w:t>
            </w:r>
          </w:p>
        </w:tc>
        <w:tc>
          <w:tcPr>
            <w:tcW w:w="40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1.对照项目支出绩效目标表中数量指标进行逐项评价；                                          2.项目实施的实际产出数与计划产出数的比率，用以反映和考核项目产出数量目标的实现程度。</w:t>
            </w:r>
          </w:p>
        </w:tc>
        <w:tc>
          <w:tcPr>
            <w:tcW w:w="51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 xml:space="preserve">①课题研究数量、起草课题报告数量完成率（10分）；                                   ②调研、访谈次数完成率（5分）；          ③向自治区人民政府领导提出建议数量完成率（5分）。                             </w:t>
            </w:r>
            <w:r>
              <w:rPr>
                <w:rFonts w:hint="eastAsia" w:ascii="宋体" w:hAnsi="宋体" w:eastAsia="宋体" w:cs="宋体"/>
                <w:b/>
                <w:bCs/>
                <w:i w:val="0"/>
                <w:iCs w:val="0"/>
                <w:color w:val="000000"/>
                <w:spacing w:val="-4"/>
                <w:kern w:val="0"/>
                <w:sz w:val="28"/>
                <w:szCs w:val="28"/>
                <w:u w:val="none"/>
                <w:lang w:val="en-US" w:eastAsia="zh-CN" w:bidi="ar"/>
              </w:rPr>
              <w:t>注：该指标完成100%或上幅度20%以内得满分；完成下幅度20%以内的，按照满分乘以完成率计算得分；完成上下幅度20%以上的不得分。</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完成100%或上幅度20%以内</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40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51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40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51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产出质量</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质量达标率</w:t>
            </w:r>
          </w:p>
        </w:tc>
        <w:tc>
          <w:tcPr>
            <w:tcW w:w="40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1.对照项目支出绩效目标表中质量指标进行逐项评价；                                         2.项目完成的质量达标产出数与实际产出数的比率，用以反映和考核项目产出质量目标的实现程度。</w:t>
            </w:r>
          </w:p>
        </w:tc>
        <w:tc>
          <w:tcPr>
            <w:tcW w:w="51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 xml:space="preserve">①课题研究合格率（5分）；                ②课题经费保障率（5分）。                 </w:t>
            </w:r>
            <w:r>
              <w:rPr>
                <w:rFonts w:hint="eastAsia" w:ascii="宋体" w:hAnsi="宋体" w:eastAsia="宋体" w:cs="宋体"/>
                <w:b/>
                <w:bCs/>
                <w:i w:val="0"/>
                <w:iCs w:val="0"/>
                <w:color w:val="000000"/>
                <w:spacing w:val="-4"/>
                <w:kern w:val="0"/>
                <w:sz w:val="28"/>
                <w:szCs w:val="28"/>
                <w:u w:val="none"/>
                <w:lang w:val="en-US" w:eastAsia="zh-CN" w:bidi="ar"/>
              </w:rPr>
              <w:t>注：该指标完成100%得满分；完成下幅度20%以内的，按照满分乘以完成率计算得分；完成下幅度20%以上的不得分。</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完成100%</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40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51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产出时效</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完成及时性</w:t>
            </w:r>
          </w:p>
        </w:tc>
        <w:tc>
          <w:tcPr>
            <w:tcW w:w="40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1.对照项目支出绩效目标表中时效指标进行逐项评价；                                         2.项目实际完成时间与计划完成时间的比较，用以反映和考核项目产出时效目标的实现程度。</w:t>
            </w:r>
          </w:p>
        </w:tc>
        <w:tc>
          <w:tcPr>
            <w:tcW w:w="51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 xml:space="preserve">①课题研究按时开展率（2分）；                ②课题研究按时完成率（3分）。                 </w:t>
            </w:r>
            <w:r>
              <w:rPr>
                <w:rFonts w:hint="eastAsia" w:ascii="宋体" w:hAnsi="宋体" w:eastAsia="宋体" w:cs="宋体"/>
                <w:b/>
                <w:bCs/>
                <w:i w:val="0"/>
                <w:iCs w:val="0"/>
                <w:color w:val="000000"/>
                <w:spacing w:val="-4"/>
                <w:kern w:val="0"/>
                <w:sz w:val="28"/>
                <w:szCs w:val="28"/>
                <w:u w:val="none"/>
                <w:lang w:val="en-US" w:eastAsia="zh-CN" w:bidi="ar"/>
              </w:rPr>
              <w:t>注：该指标完成100%得满分；完成上下幅度20%以内的，按照满分乘以完成率计算得分；完成上下幅度20%以上的不得分。</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完成100%</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40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51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产出成本</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成本节约率</w:t>
            </w:r>
          </w:p>
        </w:tc>
        <w:tc>
          <w:tcPr>
            <w:tcW w:w="40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1.对照项目支出绩效目标表中成本指标进行逐项评价；                                         2.完成项目计划工作目标的实际节约成本与计划成本的比率，用以反映和考核项目的成本节约程度。</w:t>
            </w:r>
          </w:p>
        </w:tc>
        <w:tc>
          <w:tcPr>
            <w:tcW w:w="519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 xml:space="preserve">①调查研究费用节约率（5分）；            ②资料收集和报告撰写费用节约率（3分）；    ③成果推广费用节约率（2分）。           </w:t>
            </w:r>
            <w:r>
              <w:rPr>
                <w:rFonts w:hint="eastAsia" w:ascii="宋体" w:hAnsi="宋体" w:eastAsia="宋体" w:cs="宋体"/>
                <w:b/>
                <w:bCs/>
                <w:i w:val="0"/>
                <w:iCs w:val="0"/>
                <w:color w:val="000000"/>
                <w:spacing w:val="-4"/>
                <w:kern w:val="0"/>
                <w:sz w:val="28"/>
                <w:szCs w:val="28"/>
                <w:u w:val="none"/>
                <w:lang w:val="en-US" w:eastAsia="zh-CN" w:bidi="ar"/>
              </w:rPr>
              <w:t>注：该指标完成100%或下幅度20%以内得满分；完成上幅度20%以内的，按照满分乘以完成率计算得分；完成上下幅度20%以上的不得分。</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完成100%或下幅度20%以内得满分</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40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519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left"/>
              <w:rPr>
                <w:rFonts w:hint="eastAsia" w:ascii="宋体" w:hAnsi="宋体" w:eastAsia="宋体" w:cs="宋体"/>
                <w:i w:val="0"/>
                <w:iCs w:val="0"/>
                <w:color w:val="000000"/>
                <w:sz w:val="28"/>
                <w:szCs w:val="2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95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pacing w:val="-4"/>
                <w:kern w:val="0"/>
                <w:sz w:val="28"/>
                <w:szCs w:val="28"/>
                <w:u w:val="none"/>
                <w:lang w:val="en-US" w:eastAsia="zh-CN" w:bidi="ar"/>
              </w:rPr>
              <w:t>效益</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项目效益</w:t>
            </w: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实施效益</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项目实施所产生的效益。</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pacing w:val="-4"/>
                <w:kern w:val="0"/>
                <w:sz w:val="28"/>
                <w:szCs w:val="28"/>
                <w:u w:val="none"/>
                <w:lang w:val="en-US" w:eastAsia="zh-CN" w:bidi="ar"/>
              </w:rPr>
            </w:pPr>
            <w:r>
              <w:rPr>
                <w:rFonts w:hint="eastAsia" w:ascii="宋体" w:hAnsi="宋体" w:eastAsia="宋体" w:cs="宋体"/>
                <w:i w:val="0"/>
                <w:iCs w:val="0"/>
                <w:color w:val="000000"/>
                <w:spacing w:val="-4"/>
                <w:kern w:val="0"/>
                <w:sz w:val="28"/>
                <w:szCs w:val="28"/>
                <w:u w:val="none"/>
                <w:lang w:val="en-US" w:eastAsia="zh-CN" w:bidi="ar"/>
              </w:rPr>
              <w:t>①推动经济发展政策建议是否被采纳（5分）；</w:t>
            </w:r>
          </w:p>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 xml:space="preserve">②是否为政府主要领导推动社会发展决策提供支撑（5分）。                              </w:t>
            </w:r>
            <w:r>
              <w:rPr>
                <w:rFonts w:hint="eastAsia" w:ascii="宋体" w:hAnsi="宋体" w:eastAsia="宋体" w:cs="宋体"/>
                <w:b/>
                <w:bCs/>
                <w:i w:val="0"/>
                <w:iCs w:val="0"/>
                <w:color w:val="000000"/>
                <w:spacing w:val="-4"/>
                <w:kern w:val="0"/>
                <w:sz w:val="28"/>
                <w:szCs w:val="28"/>
                <w:u w:val="none"/>
                <w:lang w:val="en-US" w:eastAsia="zh-CN" w:bidi="ar"/>
              </w:rPr>
              <w:t>注：1.是，则得分；否，则不得分；2.对于不设满意度的项目其分值平均分配到此指标中。</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是</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5" w:hRule="atLeast"/>
        </w:trPr>
        <w:tc>
          <w:tcPr>
            <w:tcW w:w="95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b/>
                <w:bCs/>
                <w:i w:val="0"/>
                <w:iCs w:val="0"/>
                <w:color w:val="000000"/>
                <w:sz w:val="28"/>
                <w:szCs w:val="2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宋体" w:hAnsi="宋体" w:eastAsia="宋体" w:cs="宋体"/>
                <w:i w:val="0"/>
                <w:iCs w:val="0"/>
                <w:color w:val="000000"/>
                <w:sz w:val="28"/>
                <w:szCs w:val="28"/>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满意度</w:t>
            </w:r>
          </w:p>
        </w:tc>
        <w:tc>
          <w:tcPr>
            <w:tcW w:w="40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服务对象对项目实施效果的满意程度。</w:t>
            </w:r>
          </w:p>
        </w:tc>
        <w:tc>
          <w:tcPr>
            <w:tcW w:w="5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根据问卷调查，政府参事、文史馆员满意度：                                      ①等于100%，得10分；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②大于等于85%，小于100%，得7分；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③大于等于70%，小于85%，得3分；</w:t>
            </w:r>
            <w:r>
              <w:rPr>
                <w:rFonts w:hint="eastAsia" w:ascii="宋体" w:hAnsi="宋体" w:eastAsia="宋体" w:cs="宋体"/>
                <w:i w:val="0"/>
                <w:iCs w:val="0"/>
                <w:color w:val="000000"/>
                <w:spacing w:val="-4"/>
                <w:kern w:val="0"/>
                <w:sz w:val="28"/>
                <w:szCs w:val="28"/>
                <w:u w:val="none"/>
                <w:lang w:val="en-US" w:eastAsia="zh-CN" w:bidi="ar"/>
              </w:rPr>
              <w:br w:type="textWrapping"/>
            </w:r>
            <w:r>
              <w:rPr>
                <w:rFonts w:hint="eastAsia" w:ascii="宋体" w:hAnsi="宋体" w:eastAsia="宋体" w:cs="宋体"/>
                <w:i w:val="0"/>
                <w:iCs w:val="0"/>
                <w:color w:val="000000"/>
                <w:spacing w:val="-4"/>
                <w:kern w:val="0"/>
                <w:sz w:val="28"/>
                <w:szCs w:val="28"/>
                <w:u w:val="none"/>
                <w:lang w:val="en-US" w:eastAsia="zh-CN" w:bidi="ar"/>
              </w:rPr>
              <w:t xml:space="preserve">④小于70%，不得分。                    </w:t>
            </w:r>
            <w:r>
              <w:rPr>
                <w:rFonts w:hint="eastAsia" w:ascii="宋体" w:hAnsi="宋体" w:eastAsia="宋体" w:cs="宋体"/>
                <w:b/>
                <w:bCs/>
                <w:i w:val="0"/>
                <w:iCs w:val="0"/>
                <w:color w:val="000000"/>
                <w:spacing w:val="-4"/>
                <w:kern w:val="0"/>
                <w:sz w:val="28"/>
                <w:szCs w:val="28"/>
                <w:u w:val="none"/>
                <w:lang w:val="en-US" w:eastAsia="zh-CN" w:bidi="ar"/>
              </w:rPr>
              <w:t>注：对于不设满意度的项目其分值调整到实施效益中。</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完成100%</w:t>
            </w: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83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pacing w:val="-4"/>
                <w:kern w:val="0"/>
                <w:sz w:val="32"/>
                <w:szCs w:val="32"/>
                <w:u w:val="none"/>
                <w:lang w:val="en-US" w:eastAsia="zh-CN" w:bidi="ar"/>
              </w:rPr>
              <w:t>合计</w:t>
            </w:r>
          </w:p>
        </w:tc>
        <w:tc>
          <w:tcPr>
            <w:tcW w:w="10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spacing w:val="-4"/>
                <w:kern w:val="0"/>
                <w:sz w:val="28"/>
                <w:szCs w:val="28"/>
                <w:u w:val="none"/>
                <w:lang w:val="en-US" w:eastAsia="zh-CN" w:bidi="ar"/>
              </w:rPr>
              <w:t>100</w:t>
            </w:r>
          </w:p>
        </w:tc>
      </w:tr>
    </w:tbl>
    <w:p>
      <w:pPr>
        <w:pStyle w:val="2"/>
        <w:ind w:left="0" w:leftChars="0" w:firstLine="0" w:firstLineChars="0"/>
      </w:pPr>
    </w:p>
    <w:sectPr>
      <w:footerReference r:id="rId7" w:type="default"/>
      <w:pgSz w:w="16838" w:h="11906" w:orient="landscape"/>
      <w:pgMar w:top="1134" w:right="1134" w:bottom="1134" w:left="1134" w:header="851" w:footer="1417" w:gutter="0"/>
      <w:pgBorders w:offsetFrom="page">
        <w:top w:val="none" w:sz="0" w:space="0"/>
        <w:left w:val="none" w:sz="0" w:space="0"/>
        <w:bottom w:val="none" w:sz="0" w:space="0"/>
        <w:right w:val="none" w:sz="0" w:space="0"/>
      </w:pgBorders>
      <w:pgNumType w:fmt="decimal"/>
      <w:cols w:space="0" w:num="1"/>
      <w:rtlGutter w:val="0"/>
      <w:docGrid w:type="linesAndChar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24"/>
      </w:pPr>
      <w:r>
        <w:separator/>
      </w:r>
    </w:p>
  </w:endnote>
  <w:endnote w:type="continuationSeparator" w:id="1">
    <w:p>
      <w:pPr>
        <w:ind w:firstLine="6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3077" o:spid="_x0000_s307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6"/>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3075" o:spid="_x0000_s307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6"/>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3076" o:spid="_x0000_s307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6"/>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- 16 -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24"/>
      </w:pPr>
      <w:r>
        <w:separator/>
      </w:r>
    </w:p>
  </w:footnote>
  <w:footnote w:type="continuationSeparator" w:id="1">
    <w:p>
      <w:pPr>
        <w:ind w:firstLine="624"/>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drawingGridHorizontalSpacing w:val="156"/>
  <w:drawingGridVerticalSpacing w:val="579"/>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UwYzIzMGJmNzNkMWFlYTMyOGQzNjc5ZGNmZDRkZjAifQ=="/>
  </w:docVars>
  <w:rsids>
    <w:rsidRoot w:val="00D61CD2"/>
    <w:rsid w:val="00762564"/>
    <w:rsid w:val="008E1ED1"/>
    <w:rsid w:val="00D61CD2"/>
    <w:rsid w:val="01597580"/>
    <w:rsid w:val="03EC247B"/>
    <w:rsid w:val="06BC40B4"/>
    <w:rsid w:val="08916921"/>
    <w:rsid w:val="0CD64E14"/>
    <w:rsid w:val="0F3563C9"/>
    <w:rsid w:val="0F882744"/>
    <w:rsid w:val="102209F2"/>
    <w:rsid w:val="18517A73"/>
    <w:rsid w:val="1B960F71"/>
    <w:rsid w:val="1E7011A9"/>
    <w:rsid w:val="1F87558F"/>
    <w:rsid w:val="1FD84EC4"/>
    <w:rsid w:val="22A20DEB"/>
    <w:rsid w:val="24462EE0"/>
    <w:rsid w:val="25001A40"/>
    <w:rsid w:val="26381A4E"/>
    <w:rsid w:val="27C86238"/>
    <w:rsid w:val="27DC783F"/>
    <w:rsid w:val="2ACE5E5B"/>
    <w:rsid w:val="2C581096"/>
    <w:rsid w:val="2CC01430"/>
    <w:rsid w:val="2F4463DD"/>
    <w:rsid w:val="33CC7FC2"/>
    <w:rsid w:val="34A35C9F"/>
    <w:rsid w:val="391666A3"/>
    <w:rsid w:val="3D406F54"/>
    <w:rsid w:val="3F89538C"/>
    <w:rsid w:val="44B71CCD"/>
    <w:rsid w:val="45A252CD"/>
    <w:rsid w:val="45BA2000"/>
    <w:rsid w:val="4A0836DB"/>
    <w:rsid w:val="4F0D3DD4"/>
    <w:rsid w:val="50675A4F"/>
    <w:rsid w:val="53987432"/>
    <w:rsid w:val="53AE0572"/>
    <w:rsid w:val="5A453D15"/>
    <w:rsid w:val="5CD35F50"/>
    <w:rsid w:val="5D2C7751"/>
    <w:rsid w:val="5D3A1950"/>
    <w:rsid w:val="5E833CC0"/>
    <w:rsid w:val="5EC7698C"/>
    <w:rsid w:val="5F2F7495"/>
    <w:rsid w:val="65135B60"/>
    <w:rsid w:val="65FA2F71"/>
    <w:rsid w:val="67E054B8"/>
    <w:rsid w:val="696B24BE"/>
    <w:rsid w:val="6E740745"/>
    <w:rsid w:val="6EBA5637"/>
    <w:rsid w:val="70B51F79"/>
    <w:rsid w:val="70C27A64"/>
    <w:rsid w:val="70F262F8"/>
    <w:rsid w:val="73542D78"/>
    <w:rsid w:val="744C085C"/>
    <w:rsid w:val="76EA11A0"/>
    <w:rsid w:val="7A727379"/>
    <w:rsid w:val="7C62341F"/>
    <w:rsid w:val="7CD12628"/>
    <w:rsid w:val="7E451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624" w:firstLineChars="200"/>
      <w:jc w:val="both"/>
    </w:pPr>
    <w:rPr>
      <w:rFonts w:ascii="Times New Roman" w:hAnsi="Times New Roman" w:eastAsia="仿宋_GB2312" w:cs="仿宋"/>
      <w:spacing w:val="-4"/>
      <w:kern w:val="2"/>
      <w:sz w:val="32"/>
      <w:szCs w:val="32"/>
      <w:lang w:val="en-US" w:eastAsia="zh-CN" w:bidi="ar-SA"/>
    </w:rPr>
  </w:style>
  <w:style w:type="paragraph" w:styleId="4">
    <w:name w:val="heading 3"/>
    <w:basedOn w:val="1"/>
    <w:next w:val="1"/>
    <w:link w:val="14"/>
    <w:autoRedefine/>
    <w:semiHidden/>
    <w:unhideWhenUsed/>
    <w:qFormat/>
    <w:uiPriority w:val="9"/>
    <w:pPr>
      <w:keepNext/>
      <w:keepLines/>
      <w:spacing w:before="260" w:after="260" w:line="416" w:lineRule="auto"/>
      <w:outlineLvl w:val="2"/>
    </w:pPr>
    <w:rPr>
      <w:b/>
      <w:bCs/>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1"/>
    <w:basedOn w:val="3"/>
    <w:autoRedefine/>
    <w:qFormat/>
    <w:uiPriority w:val="0"/>
    <w:pPr>
      <w:ind w:firstLine="641"/>
    </w:pPr>
    <w:rPr>
      <w:rFonts w:ascii="楷体" w:hAnsi="楷体" w:eastAsia="楷体" w:cs="仿宋_GB2312"/>
      <w:b/>
      <w:bCs/>
      <w:kern w:val="0"/>
      <w:sz w:val="32"/>
      <w:szCs w:val="32"/>
    </w:rPr>
  </w:style>
  <w:style w:type="paragraph" w:customStyle="1" w:styleId="3">
    <w:name w:val="正文1"/>
    <w:autoRedefine/>
    <w:qFormat/>
    <w:uiPriority w:val="0"/>
    <w:pPr>
      <w:widowControl w:val="0"/>
      <w:suppressAutoHyphens w:val="0"/>
      <w:bidi w:val="0"/>
      <w:spacing w:beforeLines="0" w:beforeAutospacing="0" w:afterLines="0" w:afterAutospacing="0" w:line="560" w:lineRule="exact"/>
      <w:jc w:val="both"/>
    </w:pPr>
    <w:rPr>
      <w:rFonts w:ascii="Calibri" w:hAnsi="Calibri" w:eastAsia="仿宋" w:cs="Times New Roman"/>
      <w:color w:val="auto"/>
      <w:kern w:val="2"/>
      <w:sz w:val="32"/>
      <w:szCs w:val="24"/>
      <w:lang w:val="en-US" w:eastAsia="zh-CN" w:bidi="ar-SA"/>
    </w:rPr>
  </w:style>
  <w:style w:type="paragraph" w:styleId="5">
    <w:name w:val="Body Text"/>
    <w:basedOn w:val="1"/>
    <w:next w:val="1"/>
    <w:autoRedefine/>
    <w:qFormat/>
    <w:uiPriority w:val="0"/>
    <w:pPr>
      <w:spacing w:line="560" w:lineRule="exact"/>
      <w:ind w:firstLine="200" w:firstLineChars="200"/>
    </w:pPr>
    <w:rPr>
      <w:rFonts w:ascii="Times New Roman" w:hAnsi="Times New Roman" w:eastAsia="仿宋_GB2312"/>
      <w:sz w:val="32"/>
      <w:szCs w:val="32"/>
    </w:rPr>
  </w:style>
  <w:style w:type="paragraph" w:styleId="6">
    <w:name w:val="footer"/>
    <w:basedOn w:val="1"/>
    <w:link w:val="12"/>
    <w:autoRedefine/>
    <w:unhideWhenUsed/>
    <w:qFormat/>
    <w:uiPriority w:val="99"/>
    <w:pPr>
      <w:tabs>
        <w:tab w:val="center" w:pos="4153"/>
        <w:tab w:val="right" w:pos="8306"/>
      </w:tabs>
      <w:snapToGrid w:val="0"/>
      <w:jc w:val="left"/>
    </w:pPr>
    <w:rPr>
      <w:sz w:val="18"/>
      <w:szCs w:val="18"/>
    </w:rPr>
  </w:style>
  <w:style w:type="paragraph" w:styleId="7">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Strong"/>
    <w:basedOn w:val="9"/>
    <w:autoRedefine/>
    <w:qFormat/>
    <w:uiPriority w:val="0"/>
    <w:rPr>
      <w:b/>
      <w:bCs/>
    </w:rPr>
  </w:style>
  <w:style w:type="character" w:customStyle="1" w:styleId="11">
    <w:name w:val="页眉 Char"/>
    <w:basedOn w:val="9"/>
    <w:link w:val="7"/>
    <w:autoRedefine/>
    <w:semiHidden/>
    <w:qFormat/>
    <w:uiPriority w:val="99"/>
    <w:rPr>
      <w:sz w:val="18"/>
      <w:szCs w:val="18"/>
    </w:rPr>
  </w:style>
  <w:style w:type="character" w:customStyle="1" w:styleId="12">
    <w:name w:val="页脚 Char"/>
    <w:basedOn w:val="9"/>
    <w:link w:val="6"/>
    <w:autoRedefine/>
    <w:qFormat/>
    <w:uiPriority w:val="99"/>
    <w:rPr>
      <w:sz w:val="18"/>
      <w:szCs w:val="18"/>
    </w:rPr>
  </w:style>
  <w:style w:type="paragraph" w:customStyle="1" w:styleId="13">
    <w:name w:val="p0"/>
    <w:basedOn w:val="1"/>
    <w:autoRedefine/>
    <w:qFormat/>
    <w:uiPriority w:val="0"/>
    <w:pPr>
      <w:widowControl/>
    </w:pPr>
    <w:rPr>
      <w:rFonts w:ascii="Calibri" w:hAnsi="Calibri" w:cs="宋体"/>
      <w:kern w:val="0"/>
      <w:szCs w:val="21"/>
    </w:rPr>
  </w:style>
  <w:style w:type="character" w:customStyle="1" w:styleId="14">
    <w:name w:val="标题 3 Char"/>
    <w:basedOn w:val="9"/>
    <w:link w:val="4"/>
    <w:autoRedefine/>
    <w:semiHidden/>
    <w:qFormat/>
    <w:uiPriority w:val="9"/>
    <w:rPr>
      <w:rFonts w:ascii="仿宋_GB2312" w:hAnsi="仿宋" w:eastAsia="仿宋_GB2312" w:cs="仿宋"/>
      <w:b/>
      <w:bCs/>
      <w:spacing w:val="-4"/>
      <w:sz w:val="32"/>
      <w:szCs w:val="32"/>
    </w:rPr>
  </w:style>
  <w:style w:type="character" w:customStyle="1" w:styleId="15">
    <w:name w:val="font21"/>
    <w:basedOn w:val="9"/>
    <w:autoRedefine/>
    <w:qFormat/>
    <w:uiPriority w:val="0"/>
    <w:rPr>
      <w:rFonts w:hint="eastAsia" w:ascii="宋体" w:hAnsi="宋体" w:eastAsia="宋体" w:cs="宋体"/>
      <w:color w:val="000000"/>
      <w:sz w:val="28"/>
      <w:szCs w:val="28"/>
      <w:u w:val="none"/>
    </w:rPr>
  </w:style>
  <w:style w:type="character" w:customStyle="1" w:styleId="16">
    <w:name w:val="font81"/>
    <w:basedOn w:val="9"/>
    <w:autoRedefine/>
    <w:qFormat/>
    <w:uiPriority w:val="0"/>
    <w:rPr>
      <w:rFonts w:hint="eastAsia" w:ascii="宋体" w:hAnsi="宋体" w:eastAsia="宋体" w:cs="宋体"/>
      <w:b/>
      <w:bCs/>
      <w:color w:val="000000"/>
      <w:sz w:val="28"/>
      <w:szCs w:val="28"/>
      <w:u w:val="none"/>
    </w:rPr>
  </w:style>
  <w:style w:type="character" w:customStyle="1" w:styleId="17">
    <w:name w:val="font61"/>
    <w:basedOn w:val="9"/>
    <w:autoRedefine/>
    <w:qFormat/>
    <w:uiPriority w:val="0"/>
    <w:rPr>
      <w:rFonts w:hint="eastAsia" w:ascii="宋体" w:hAnsi="宋体" w:eastAsia="宋体" w:cs="宋体"/>
      <w:color w:val="000000"/>
      <w:sz w:val="28"/>
      <w:szCs w:val="28"/>
      <w:u w:val="none"/>
    </w:rPr>
  </w:style>
  <w:style w:type="character" w:customStyle="1" w:styleId="18">
    <w:name w:val="font51"/>
    <w:basedOn w:val="9"/>
    <w:autoRedefine/>
    <w:qFormat/>
    <w:uiPriority w:val="0"/>
    <w:rPr>
      <w:rFonts w:hint="eastAsia" w:ascii="宋体" w:hAnsi="宋体" w:eastAsia="宋体" w:cs="宋体"/>
      <w:b/>
      <w:b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7" textRotate="1"/>
    <customShpInfo spid="_x0000_s3075" textRotate="1"/>
    <customShpInfo spid="_x0000_s307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692</Words>
  <Characters>3945</Characters>
  <Lines>32</Lines>
  <Paragraphs>9</Paragraphs>
  <TotalTime>15</TotalTime>
  <ScaleCrop>false</ScaleCrop>
  <LinksUpToDate>false</LinksUpToDate>
  <CharactersWithSpaces>4628</CharactersWithSpaces>
  <Application>WPS Office_12.8.2.16730_F1E327BC-269C-435d-A152-05C5408002CA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2024-04-11T11:26:00Z</dcterms:created>
  <dc:creator>lenovo</dc:creator>
  <cp:lastModifiedBy>财务</cp:lastModifiedBy>
  <cp:lastPrinted>2025-04-10T08:57:00Z</cp:lastPrinted>
  <dcterms:modified xsi:type="dcterms:W3CDTF">2026-08-14T10:07:48Z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2052-12.8.2.16730</vt:lpwstr>
  </property>
  <property fmtid="{D5CDD505-2E9C-101B-9397-08002B2CF9AE}" pid="3" name="ICV">
    <vt:lpwstr>0E0E3E50A1B6433E944709C8BDB58F39_12</vt:lpwstr>
  </property>
</Properties>
</file>