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Times New Roman" w:hAnsi="Times New Roman" w:eastAsia="宋体"/>
          <w:sz w:val="32"/>
          <w:szCs w:val="32"/>
        </w:rPr>
      </w:pPr>
    </w:p>
    <w:p>
      <w:pPr>
        <w:widowControl/>
        <w:spacing w:before="0" w:beforeLines="0" w:beforeAutospacing="0" w:after="0" w:afterLines="0" w:afterAutospacing="0" w:line="240" w:lineRule="auto"/>
        <w:jc w:val="left"/>
        <w:rPr>
          <w:rFonts w:ascii="Times New Roman" w:hAnsi="Times New Roman" w:eastAsia="宋体"/>
          <w:sz w:val="44"/>
          <w:szCs w:val="44"/>
        </w:rPr>
      </w:pPr>
    </w:p>
    <w:p>
      <w:pPr>
        <w:widowControl/>
        <w:spacing w:before="0" w:beforeLines="0" w:beforeAutospacing="0" w:after="0" w:afterLines="0" w:afterAutospacing="0" w:line="240" w:lineRule="auto"/>
        <w:jc w:val="left"/>
        <w:rPr>
          <w:rFonts w:ascii="Times New Roman" w:hAnsi="Times New Roman" w:eastAsia="宋体"/>
          <w:sz w:val="44"/>
          <w:szCs w:val="44"/>
        </w:rPr>
      </w:pPr>
    </w:p>
    <w:p>
      <w:pPr>
        <w:widowControl/>
        <w:spacing w:before="0" w:beforeLines="0" w:beforeAutospacing="0" w:after="0" w:afterLines="0" w:afterAutospacing="0" w:line="240" w:lineRule="auto"/>
        <w:jc w:val="left"/>
        <w:rPr>
          <w:rFonts w:ascii="Times New Roman" w:hAnsi="Times New Roman" w:eastAsia="宋体"/>
          <w:sz w:val="44"/>
          <w:szCs w:val="44"/>
        </w:rPr>
      </w:pPr>
    </w:p>
    <w:p>
      <w:pPr>
        <w:widowControl/>
        <w:spacing w:before="0" w:beforeLines="0" w:beforeAutospacing="0" w:after="0" w:afterLines="0" w:afterAutospacing="0" w:line="240" w:lineRule="auto"/>
        <w:jc w:val="center"/>
        <w:outlineLvl w:val="0"/>
        <w:rPr>
          <w:rFonts w:hint="eastAsia" w:ascii="Times New Roman" w:hAnsi="Times New Roman" w:eastAsia="方正小标宋_GBK" w:cs="方正小标宋_GBK"/>
          <w:sz w:val="44"/>
          <w:szCs w:val="44"/>
        </w:rPr>
      </w:pPr>
      <w:r>
        <w:rPr>
          <w:rFonts w:hint="eastAsia" w:ascii="Times New Roman" w:hAnsi="Times New Roman" w:eastAsia="方正小标宋_GBK" w:cs="方正小标宋_GBK"/>
          <w:b w:val="0"/>
          <w:sz w:val="44"/>
          <w:szCs w:val="44"/>
        </w:rPr>
        <w:t>新疆维吾尔自治区人民政府研究室新疆维吾尔自治区人民政府参事室（文史研究馆）</w:t>
      </w:r>
    </w:p>
    <w:p>
      <w:pPr>
        <w:widowControl/>
        <w:spacing w:before="0" w:beforeLines="0" w:beforeAutospacing="0" w:after="0" w:afterLines="0" w:afterAutospacing="0" w:line="240" w:lineRule="auto"/>
        <w:jc w:val="center"/>
        <w:outlineLvl w:val="0"/>
        <w:rPr>
          <w:rFonts w:ascii="Times New Roman" w:hAnsi="Times New Roman" w:eastAsia="黑体"/>
          <w:sz w:val="44"/>
          <w:szCs w:val="44"/>
        </w:rPr>
      </w:pPr>
      <w:r>
        <w:rPr>
          <w:rFonts w:hint="eastAsia" w:ascii="Times New Roman" w:hAnsi="Times New Roman" w:eastAsia="方正小标宋_GBK" w:cs="方正小标宋_GBK"/>
          <w:b w:val="0"/>
          <w:sz w:val="44"/>
          <w:szCs w:val="44"/>
        </w:rPr>
        <w:t>2025年度部门决算公开说明</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rPr>
          <w:rFonts w:ascii="Times New Roman" w:hAnsi="Times New Roman" w:eastAsia="黑体"/>
          <w:sz w:val="32"/>
          <w:szCs w:val="32"/>
        </w:rPr>
      </w:pPr>
      <w:r>
        <w:rPr>
          <w:rFonts w:ascii="Times New Roman" w:hAnsi="Times New Roman" w:eastAsia="黑体"/>
          <w:b/>
          <w:sz w:val="32"/>
          <w:szCs w:val="32"/>
        </w:rPr>
        <w:t>目 录</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第一部分部门概况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一、主要职能</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二、机构设置</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第二部分 部门决算情况说明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二、收入决算情况说明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十、其他重要事项的情况说明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（二）政府采购情况</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（三）国有资产占用情况说明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十一、预算绩效的情况说明</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十二、其他需说明的事项</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第三部分 专业名词解释</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sz w:val="32"/>
          <w:szCs w:val="32"/>
        </w:rPr>
        <w:t>第四部分 部门决算报表（见附表）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一、《收入支出决算总表》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二、《收入决算表》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三、《支出决算表》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Times New Roman" w:hAnsi="Times New Roman" w:eastAsia="仿宋_GB2312"/>
          <w:sz w:val="32"/>
          <w:szCs w:val="32"/>
        </w:rPr>
      </w:pPr>
      <w:r>
        <w:rPr>
          <w:rFonts w:ascii="Times New Roman" w:hAnsi="Times New Roman" w:eastAsia="仿宋_GB2312"/>
          <w:b w:val="0"/>
          <w:sz w:val="32"/>
          <w:szCs w:val="32"/>
        </w:rPr>
        <w:t>九、《财政拨款“三公”经费支出决算表》</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第一部分部门概况</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围绕自治区人民政府中心工作，组织参与经济社会发展重大问题调查研究，提出政策建议和咨询意见；负责组织起草《政府工作报告》，组织参与起草、修改政府重要文件、政府主要领导讲话等文稿；指导自治区人民政府各部门和地（州、市）人民政府（行政公署）的调查研究和决策咨询工作；搜集、整理、分析国内外理论研究动态、典型经验和经济社会发展信息，为政府领导决策提供参考；联络、组织、协调参事、馆员参政议政、咨询国</w:t>
      </w:r>
      <w:r>
        <w:rPr>
          <w:rFonts w:ascii="Times New Roman" w:hAnsi="Times New Roman" w:eastAsia="仿宋_GB2312"/>
          <w:b w:val="0"/>
          <w:sz w:val="32"/>
          <w:szCs w:val="32"/>
          <w:highlight w:val="none"/>
        </w:rPr>
        <w:t>是</w:t>
      </w:r>
      <w:r>
        <w:rPr>
          <w:rFonts w:ascii="Times New Roman" w:hAnsi="Times New Roman" w:eastAsia="仿宋_GB2312"/>
          <w:b w:val="0"/>
          <w:sz w:val="32"/>
          <w:szCs w:val="32"/>
        </w:rPr>
        <w:t>、调查研究、建言献策、民主监督，开展统战联谊、文史研究、艺术创作、对外文化交流工作；完成自治区党委、自治区人民政府领导交办的其他任务。</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二、机构设置</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新疆维吾尔自治区人民政府研究室新疆维吾尔自治区人民政府参事室（文史研究馆）</w:t>
      </w:r>
      <w:bookmarkStart w:id="0" w:name="_GoBack"/>
      <w:bookmarkEnd w:id="0"/>
      <w:r>
        <w:rPr>
          <w:rFonts w:ascii="Times New Roman" w:hAnsi="Times New Roman" w:eastAsia="仿宋_GB2312"/>
          <w:b w:val="0"/>
          <w:sz w:val="32"/>
          <w:szCs w:val="32"/>
        </w:rPr>
        <w:t>无下属预算单位。</w:t>
      </w: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仿宋_GB2312" w:hAnsi="仿宋_GB2312" w:eastAsia="仿宋_GB2312" w:cs="仿宋_GB2312"/>
          <w:i w:val="0"/>
          <w:iCs w:val="0"/>
          <w:caps w:val="0"/>
          <w:color w:val="606266"/>
          <w:spacing w:val="0"/>
          <w:sz w:val="31"/>
          <w:szCs w:val="31"/>
          <w:shd w:val="clear" w:fill="FFFFFF"/>
        </w:rPr>
      </w:pP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第二部分 部门决算情况说明</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2025年度收入总计1,478.44万元，其中：本年收入合计1,459.51万元，使用非财政拨款结余（含专用结余）0.00万元，年初结转和结余18.92万元。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2025年度支出总计1,478.44万元，其中：本年支出合计1,472.30万元，结余分配0.00万元，年末结转和结余6.13万元。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收入支出总体与上年相比，增加352.17万元，增长31.27%，主要原因是：本年机构改革完毕，编制增加，在职人员、单位职能增加，各类经费收入预算相应增加。</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本年收入1,459.51万元，其中：财政拨款收入1,458.73万元,占99.95%；上级补助收入0.00万元,占0.00%；事业收入0.00万元，占0.00%；经营收入0.00万元,占0.00%；附属单位上缴收入0.00万元，占0.00%；其他收入0.79万元，占0.05%。</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本年支出1,472.30万元，其中：基本支出1,189.21万元，占80.77%；项目支出283.09万元，占19.23%；上缴上级支出0.00万元，占0.00%；经营支出0.00万元，占0.00%；对附属单位补助支出0.00万元，占0.00%。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2025年度财政拨款收入总计1,477.13万元，其中：年初财政拨款结转和结余18.40万元，本年财政拨款收入1,458.73万元。财政拨款支出总计1,477.13万元，其中：年末财政拨款结转和结余5.65万元，本年财政拨款支出1,471.48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财政拨款收入支出总体与上年相比，增加351.61万元，增长31.24%，主要原因是：我室为财政全额保障单位，本年机构改革完毕，编制增加，在职人员、单位职能增加，财政拨款收入支出总体相应增加。与年初预算相比，年初预算数1,201.18万元，决算数1,477.13万元，预决算差异率22.97%，主要原因是：2025年基本工资调整发放标准，拨付追加新增人员经费，拨付记实2025年职业年金单位缴费。</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五、一般公共预算财政拨款支出决算情况说明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按照党中央、国务院关于党政机关习惯过紧日子的有关要求，厉行节约办一切事业，严控一般性支出。同时坚持有保有压，优化支出结构，提高资金使用效率，合理保障履职运转、重点项目开展、决策调研支撑等重点支出，体现在有关支出科目中。</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按照支出功能分类，一般公共服务支出（类）政府办公厅（室）及相关机构事务（款）行政运行（项）的支出占本年财政拨款支出总额的比重最高，2025年度决算数为616.51万元，占比41.90%，主要用于在职人员工资福利支出及保障运行商品和服务支出。</w:t>
      </w:r>
    </w:p>
    <w:p>
      <w:pPr>
        <w:widowControl/>
        <w:spacing w:before="0" w:beforeLines="0" w:beforeAutospacing="0" w:after="0" w:afterLines="0" w:afterAutospacing="0" w:line="240" w:lineRule="auto"/>
        <w:ind w:firstLine="640" w:firstLineChars="200"/>
        <w:jc w:val="both"/>
        <w:outlineLvl w:val="2"/>
        <w:rPr>
          <w:rFonts w:hint="eastAsia" w:ascii="楷体_GB2312" w:hAnsi="楷体_GB2312" w:eastAsia="楷体_GB2312" w:cs="楷体_GB2312"/>
          <w:sz w:val="32"/>
          <w:szCs w:val="32"/>
        </w:rPr>
      </w:pPr>
      <w:r>
        <w:rPr>
          <w:rFonts w:hint="eastAsia" w:ascii="楷体_GB2312" w:hAnsi="楷体_GB2312" w:eastAsia="楷体_GB2312" w:cs="楷体_GB2312"/>
          <w:b w:val="0"/>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2025年度一般公共预算财政拨款支出1,471.48万元，占本年支出合计的99.94%。与上年相比，增加364.37万元，增长32.91%，主要原因是：本年机构改革完毕，编制增加，在职人员、单位职能增加，财政拨款支出相应增加。与年初预算相比，年初预算数1,201.18万元，决算数1,471.48万元，预决算差异率22.50%，主要原因是：2025年基本工资调整发放标准，拨付追加新增人员经费，拨付记实2025年职业年金单位缴费。</w:t>
      </w:r>
    </w:p>
    <w:p>
      <w:pPr>
        <w:widowControl/>
        <w:spacing w:before="0" w:beforeLines="0" w:beforeAutospacing="0" w:after="0" w:afterLines="0" w:afterAutospacing="0" w:line="240" w:lineRule="auto"/>
        <w:ind w:firstLine="640" w:firstLineChars="200"/>
        <w:jc w:val="both"/>
        <w:outlineLvl w:val="2"/>
        <w:rPr>
          <w:rFonts w:hint="eastAsia" w:ascii="楷体_GB2312" w:hAnsi="楷体_GB2312" w:eastAsia="楷体_GB2312" w:cs="楷体_GB2312"/>
          <w:b w:val="0"/>
          <w:sz w:val="32"/>
          <w:szCs w:val="32"/>
        </w:rPr>
      </w:pPr>
      <w:r>
        <w:rPr>
          <w:rFonts w:hint="eastAsia" w:ascii="楷体_GB2312" w:hAnsi="楷体_GB2312" w:eastAsia="楷体_GB2312" w:cs="楷体_GB2312"/>
          <w:b w:val="0"/>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1.一般公共服务支出（类）1,119.03万元，占76.05%。</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2.社会保障和就业支出（类）172.08万元，占11.69%。</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3.卫生健康支出（类）100.97万元，占6.86%。</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4.住房保障支出（类）79.40万元，占5.40%。</w:t>
      </w:r>
    </w:p>
    <w:p>
      <w:pPr>
        <w:widowControl/>
        <w:spacing w:before="0" w:beforeLines="0" w:beforeAutospacing="0" w:after="0" w:afterLines="0" w:afterAutospacing="0" w:line="240" w:lineRule="auto"/>
        <w:ind w:firstLine="640" w:firstLineChars="200"/>
        <w:jc w:val="both"/>
        <w:outlineLvl w:val="2"/>
        <w:rPr>
          <w:rFonts w:hint="eastAsia" w:ascii="楷体_GB2312" w:hAnsi="楷体_GB2312" w:eastAsia="楷体_GB2312" w:cs="楷体_GB2312"/>
          <w:b w:val="0"/>
          <w:sz w:val="32"/>
          <w:szCs w:val="32"/>
        </w:rPr>
      </w:pPr>
      <w:r>
        <w:rPr>
          <w:rFonts w:hint="eastAsia" w:ascii="楷体_GB2312" w:hAnsi="楷体_GB2312" w:eastAsia="楷体_GB2312" w:cs="楷体_GB2312"/>
          <w:b w:val="0"/>
          <w:sz w:val="32"/>
          <w:szCs w:val="32"/>
        </w:rPr>
        <w:t>（三）一般公共预算财政拨款支出决算具体情况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1</w:t>
      </w:r>
      <w:r>
        <w:rPr>
          <w:rFonts w:hint="eastAsia" w:ascii="Times New Roman" w:hAnsi="Times New Roman" w:eastAsia="仿宋_GB2312"/>
          <w:b w:val="0"/>
          <w:sz w:val="32"/>
          <w:szCs w:val="32"/>
          <w:lang w:val="en-US" w:eastAsia="zh-CN"/>
        </w:rPr>
        <w:t>.</w:t>
      </w:r>
      <w:r>
        <w:rPr>
          <w:rFonts w:ascii="Times New Roman" w:hAnsi="Times New Roman" w:eastAsia="仿宋_GB2312"/>
          <w:b w:val="0"/>
          <w:sz w:val="32"/>
          <w:szCs w:val="32"/>
        </w:rPr>
        <w:t>一般公共服务支出（类）政府办公厅（室）及相关机构事务（款）行政运行（项）：支出决算数为616.51万元，比上年决算增加99.23万元，增长19.18%，主要原因是：2025年新招录、调入公务员，部分人员职级晋升及调增基本工资等，行政运行支出增加。</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2</w:t>
      </w:r>
      <w:r>
        <w:rPr>
          <w:rFonts w:hint="eastAsia" w:ascii="Times New Roman" w:hAnsi="Times New Roman" w:eastAsia="仿宋_GB2312"/>
          <w:b w:val="0"/>
          <w:sz w:val="32"/>
          <w:szCs w:val="32"/>
          <w:lang w:val="en-US" w:eastAsia="zh-CN"/>
        </w:rPr>
        <w:t>.</w:t>
      </w:r>
      <w:r>
        <w:rPr>
          <w:rFonts w:ascii="Times New Roman" w:hAnsi="Times New Roman" w:eastAsia="仿宋_GB2312"/>
          <w:b w:val="0"/>
          <w:sz w:val="32"/>
          <w:szCs w:val="32"/>
        </w:rPr>
        <w:t>一般公共服务支出（类）政府办公厅（室）及相关机构事务（款）一般行政管理事务（项）：支出决算数为281.09万元，比上年决算增加40.37万元，增长16.77%，主要原因是：本年机构改革完毕，单位职能增加，一般行政管理事务支出相应增加。</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3</w:t>
      </w:r>
      <w:r>
        <w:rPr>
          <w:rFonts w:hint="eastAsia" w:ascii="Times New Roman" w:hAnsi="Times New Roman" w:eastAsia="仿宋_GB2312"/>
          <w:b w:val="0"/>
          <w:sz w:val="32"/>
          <w:szCs w:val="32"/>
          <w:lang w:val="en-US" w:eastAsia="zh-CN"/>
        </w:rPr>
        <w:t>.</w:t>
      </w:r>
      <w:r>
        <w:rPr>
          <w:rFonts w:ascii="Times New Roman" w:hAnsi="Times New Roman" w:eastAsia="仿宋_GB2312"/>
          <w:b w:val="0"/>
          <w:sz w:val="32"/>
          <w:szCs w:val="32"/>
        </w:rPr>
        <w:t>一般公共服务支出（类）政府办公厅（室）及相关机构事务（款）事业运行（项）：支出决算数为219.42万元，比上年决算增加102.88万元，增长88.28%，主要原因是：2025年新招录事业编人员，部分人员职级晋升及调增基本工资等，事业运行支出增加。</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4</w:t>
      </w:r>
      <w:r>
        <w:rPr>
          <w:rFonts w:hint="eastAsia" w:ascii="Times New Roman" w:hAnsi="Times New Roman" w:eastAsia="仿宋_GB2312"/>
          <w:b w:val="0"/>
          <w:sz w:val="32"/>
          <w:szCs w:val="32"/>
          <w:lang w:val="en-US" w:eastAsia="zh-CN"/>
        </w:rPr>
        <w:t>.</w:t>
      </w:r>
      <w:r>
        <w:rPr>
          <w:rFonts w:ascii="Times New Roman" w:hAnsi="Times New Roman" w:eastAsia="仿宋_GB2312"/>
          <w:b w:val="0"/>
          <w:sz w:val="32"/>
          <w:szCs w:val="32"/>
        </w:rPr>
        <w:t>一般公共服务支出（类）政府办公厅（室）及相关机构事务（款）其他政府办公厅（室）及相关机构事务支出（项）：支出决算数为2.00万元，比上年决算增加2.00万元，增长100.00%，主要原因是：上年未安排此项支出，本年度按照国家及自治区统一部署增加了其他政府办公厅（室）及相关机构事务支出。</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5</w:t>
      </w:r>
      <w:r>
        <w:rPr>
          <w:rFonts w:hint="eastAsia" w:ascii="Times New Roman" w:hAnsi="Times New Roman" w:eastAsia="仿宋_GB2312"/>
          <w:b w:val="0"/>
          <w:sz w:val="32"/>
          <w:szCs w:val="32"/>
          <w:lang w:val="en-US" w:eastAsia="zh-CN"/>
        </w:rPr>
        <w:t>.</w:t>
      </w:r>
      <w:r>
        <w:rPr>
          <w:rFonts w:ascii="Times New Roman" w:hAnsi="Times New Roman" w:eastAsia="仿宋_GB2312"/>
          <w:b w:val="0"/>
          <w:sz w:val="32"/>
          <w:szCs w:val="32"/>
        </w:rPr>
        <w:t>社会保障和就业支出（类）行政事业单位养老支出（款）行政单位离退休（项）：支出决算数为14.80万元，比上年决算增加4.94万元，增长50.10%，主要原因是：本年退休人员增加，行政单位离退休支出增加。</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6</w:t>
      </w:r>
      <w:r>
        <w:rPr>
          <w:rFonts w:hint="eastAsia" w:ascii="Times New Roman" w:hAnsi="Times New Roman" w:eastAsia="仿宋_GB2312"/>
          <w:b w:val="0"/>
          <w:sz w:val="32"/>
          <w:szCs w:val="32"/>
          <w:lang w:val="en-US" w:eastAsia="zh-CN"/>
        </w:rPr>
        <w:t>.</w:t>
      </w:r>
      <w:r>
        <w:rPr>
          <w:rFonts w:ascii="Times New Roman" w:hAnsi="Times New Roman" w:eastAsia="仿宋_GB2312"/>
          <w:b w:val="0"/>
          <w:sz w:val="32"/>
          <w:szCs w:val="32"/>
        </w:rPr>
        <w:t>社会保障和就业支出（类）行政事业单位养老支出（款）机关事业单位基本养老保险缴费支出（项）：支出决算数为104.47万元，比上年决算增加36.51万元，增长53.72%，主要原因是：本年机构改革完毕，编制增加，在职人员增加及部分人员职级晋升，调增基本工资等，机关事业单位基本养老保险缴费支出增加。</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7</w:t>
      </w:r>
      <w:r>
        <w:rPr>
          <w:rFonts w:hint="eastAsia" w:ascii="Times New Roman" w:hAnsi="Times New Roman" w:eastAsia="仿宋_GB2312"/>
          <w:b w:val="0"/>
          <w:sz w:val="32"/>
          <w:szCs w:val="32"/>
          <w:lang w:val="en-US" w:eastAsia="zh-CN"/>
        </w:rPr>
        <w:t>.</w:t>
      </w:r>
      <w:r>
        <w:rPr>
          <w:rFonts w:ascii="Times New Roman" w:hAnsi="Times New Roman" w:eastAsia="仿宋_GB2312"/>
          <w:b w:val="0"/>
          <w:sz w:val="32"/>
          <w:szCs w:val="32"/>
        </w:rPr>
        <w:t>社会保障和就业支出（类）行政事业单位养老支出（款）机关事业单位职业年金缴费支出（项）：支出决算数为52.81万元，比上年决算增加9.86万元，增长22.96%，主要原因是：本年拨付记实职业年金单位缴费，机关事业单位职业年金缴费支出增加。</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8</w:t>
      </w:r>
      <w:r>
        <w:rPr>
          <w:rFonts w:hint="eastAsia" w:ascii="Times New Roman" w:hAnsi="Times New Roman" w:eastAsia="仿宋_GB2312"/>
          <w:b w:val="0"/>
          <w:sz w:val="32"/>
          <w:szCs w:val="32"/>
          <w:lang w:val="en-US" w:eastAsia="zh-CN"/>
        </w:rPr>
        <w:t>.</w:t>
      </w:r>
      <w:r>
        <w:rPr>
          <w:rFonts w:ascii="Times New Roman" w:hAnsi="Times New Roman" w:eastAsia="仿宋_GB2312"/>
          <w:b w:val="0"/>
          <w:sz w:val="32"/>
          <w:szCs w:val="32"/>
        </w:rPr>
        <w:t>卫生健康支出（类）行政事业单位医疗（款）行政单位医疗（项）：支出决算数为46.71万元，比上年决算增加17.73万元，增长61.18%，主要原因是：2025年新招录、调入公务员，部分人员职级晋升及调增基本工资等，行政单位医疗支出增加。</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9</w:t>
      </w:r>
      <w:r>
        <w:rPr>
          <w:rFonts w:hint="eastAsia" w:ascii="Times New Roman" w:hAnsi="Times New Roman" w:eastAsia="仿宋_GB2312"/>
          <w:b w:val="0"/>
          <w:sz w:val="32"/>
          <w:szCs w:val="32"/>
          <w:lang w:val="en-US" w:eastAsia="zh-CN"/>
        </w:rPr>
        <w:t>.</w:t>
      </w:r>
      <w:r>
        <w:rPr>
          <w:rFonts w:ascii="Times New Roman" w:hAnsi="Times New Roman" w:eastAsia="仿宋_GB2312"/>
          <w:b w:val="0"/>
          <w:sz w:val="32"/>
          <w:szCs w:val="32"/>
        </w:rPr>
        <w:t>卫生健康支出（类）行政事业单位医疗（款）事业单位医疗（项）：支出决算数为9.51万元，比上年决算增加6.68万元，增长236.04%，主要原因是：2025年新招录事业编人员，部分人员职级晋升及调增基本工资等，事业单位医疗支出增加。</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10</w:t>
      </w:r>
      <w:r>
        <w:rPr>
          <w:rFonts w:hint="eastAsia" w:ascii="Times New Roman" w:hAnsi="Times New Roman" w:eastAsia="仿宋_GB2312"/>
          <w:b w:val="0"/>
          <w:sz w:val="32"/>
          <w:szCs w:val="32"/>
          <w:lang w:val="en-US" w:eastAsia="zh-CN"/>
        </w:rPr>
        <w:t>.</w:t>
      </w:r>
      <w:r>
        <w:rPr>
          <w:rFonts w:ascii="Times New Roman" w:hAnsi="Times New Roman" w:eastAsia="仿宋_GB2312"/>
          <w:b w:val="0"/>
          <w:sz w:val="32"/>
          <w:szCs w:val="32"/>
        </w:rPr>
        <w:t>卫生健康支出（类）行政事业单位医疗（款）公务员医疗补助（项）：支出决算数为44.75万元，比上年决算增加15.28万元，增长51.85%，主要原因是：本年机构改革完毕，编制增加，在职人员增加及部分人员职级晋升，调增基本工资等，公务员医疗补助支出增加。</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11</w:t>
      </w:r>
      <w:r>
        <w:rPr>
          <w:rFonts w:hint="eastAsia" w:ascii="Times New Roman" w:hAnsi="Times New Roman" w:eastAsia="仿宋_GB2312"/>
          <w:b w:val="0"/>
          <w:sz w:val="32"/>
          <w:szCs w:val="32"/>
          <w:lang w:val="en-US" w:eastAsia="zh-CN"/>
        </w:rPr>
        <w:t>.</w:t>
      </w:r>
      <w:r>
        <w:rPr>
          <w:rFonts w:ascii="Times New Roman" w:hAnsi="Times New Roman" w:eastAsia="仿宋_GB2312"/>
          <w:b w:val="0"/>
          <w:sz w:val="32"/>
          <w:szCs w:val="32"/>
        </w:rPr>
        <w:t>住房保障支出（类）住房改革支出（款）住房公积金（项）：支出决算数为79.40万元，比上年决算增加28.88万元，增长57.17%，主要原因是：本年机构改革完毕，编制增加，在职人员增加及部分人员职级晋升，调增基本工资等，住房公积金支出增加。</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2025年度一般公共预算财政拨款基本支出1,188.39万元，其中：人员经费1,084.61万元，包括：基本工资、津贴补贴、奖金、绩效工资、机关事业单位基本养老保险缴费、职业年金缴费、职工基本医疗保险缴费、公务员医疗补助缴费、其他社会保障缴费、住房公积金、其他工资福利支出和退休费。</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公用经费103.78万元，包括：办公费、邮电费、差旅费、租赁费、公务接待费、工会经费、福利费、公务用车运行维护费和其他商品和服务支出。</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本部门本年度无政府性基金预算财政拨款收入、支出及结转和结余，政府性基金预算财政拨款收入支出决算表为空表。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本部门本年度无国有资本经营预算财政拨款收入、支出及结转和结余，国有资本经营预算财政拨款收入支出决算表为空表。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2025年度财政拨款“三公”经费支出16.47万元，比上年减少17.52万元，下降51.54%，主要原因是：上年安排了公务用车购置费，本年未安排。其中：因公出国（境）费用支出0.00万元,占0.00%，与上年相比无变化，主要原因是：本年度未安排因公出国（境）费；公务用车购置及运行维护费支出15.60万元，占94.72%，比上年减少17.39万元，下降52.71%，主要原因是：上年安排了公务用车购置费，本年未安排；公务接待费支出0.87万元，占5.28%，比上年减少0.12万元，下降12.12%，主要原因是：坚持厉行节约，从严控制公务接待费支出。</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因公出国（境）费用0.00万元，开支内容包括我单位无因公出国（境）费。部门全年安排的因公出国（境）团组0个，因公出国（境）0人次。</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公务用车购置及运行维护费15.60万元，其中：公务用车购置费0.00万元，公务用车运行维护费15.60万元。公务用车运行维护费开支内容包括公务用车燃料费、维修费、过路费、保险费。公务用车购置数0辆，公务用车保有量6辆。国有资产占用情况中固定资产车辆6辆，与公务用车保有量差异原因是：与公务用车保有量无差异。</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公务接待费0.87万元，开支内容包括公务接待工作餐费。部门全年安排的国内公务接待10批次，75人次。</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与全年预算相比，财政拨款“三公”经费支出全年预算数18.10万元，决算数16.47万元，预决算差异率-9.01%，主要原因是：坚持厉行节约，从严控制“三公”经费支出。其中：因公出国（境）费用全年预算数0.00万元，决算数0.00万元，预决算差异率0.00%，主要原因是：本年度我单位无因公出国（境）事项，无相关经费支出；公务用车购置费全年预算数0.00万元，决算数0.00万元，预决算差异率0.00%，主要原因是：本年未安排公务用车购置费；公务用车运行维护费全年预算数15.60万元，决算数15.60万元，预决算差异率0.00%，主要原因是：严格按照预算执行，无差异；公务接待费全年预算数2.50万元，决算数0.87万元，预决算差异率-65.20%，主要原因是：坚持厉行节约，从严控制公务接待费支出。</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十、其他重要事项的情况说明</w:t>
      </w:r>
    </w:p>
    <w:p>
      <w:pPr>
        <w:widowControl/>
        <w:spacing w:before="0" w:beforeLines="0" w:beforeAutospacing="0" w:after="0" w:afterLines="0" w:afterAutospacing="0" w:line="240" w:lineRule="auto"/>
        <w:ind w:firstLine="640" w:firstLineChars="200"/>
        <w:jc w:val="left"/>
        <w:outlineLvl w:val="2"/>
        <w:rPr>
          <w:rFonts w:hint="eastAsia" w:ascii="楷体_GB2312" w:hAnsi="楷体_GB2312" w:eastAsia="楷体_GB2312" w:cs="楷体_GB2312"/>
          <w:sz w:val="32"/>
          <w:szCs w:val="32"/>
        </w:rPr>
      </w:pPr>
      <w:r>
        <w:rPr>
          <w:rFonts w:hint="eastAsia" w:ascii="楷体_GB2312" w:hAnsi="楷体_GB2312" w:eastAsia="楷体_GB2312" w:cs="楷体_GB2312"/>
          <w:b w:val="0"/>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2025年度新疆维吾尔自治区人民政府研究室新疆维吾尔自治区人民政府参事室（文史研究馆）（行政单位和参照公务员法管理事业单位）机关运行经费支出103.78万元，比上年增加29.50万元，增长39.71%，主要原因是：本年度人员增加、日常工作量增加，相应经费支出增长。</w:t>
      </w:r>
    </w:p>
    <w:p>
      <w:pPr>
        <w:widowControl/>
        <w:spacing w:before="0" w:beforeLines="0" w:beforeAutospacing="0" w:after="0" w:afterLines="0" w:afterAutospacing="0" w:line="240" w:lineRule="auto"/>
        <w:ind w:firstLine="640" w:firstLineChars="200"/>
        <w:jc w:val="left"/>
        <w:outlineLvl w:val="2"/>
        <w:rPr>
          <w:rFonts w:hint="eastAsia" w:ascii="楷体_GB2312" w:hAnsi="楷体_GB2312" w:eastAsia="楷体_GB2312" w:cs="楷体_GB2312"/>
          <w:b w:val="0"/>
          <w:sz w:val="32"/>
          <w:szCs w:val="32"/>
        </w:rPr>
      </w:pPr>
      <w:r>
        <w:rPr>
          <w:rFonts w:hint="eastAsia" w:ascii="楷体_GB2312" w:hAnsi="楷体_GB2312" w:eastAsia="楷体_GB2312" w:cs="楷体_GB2312"/>
          <w:b w:val="0"/>
          <w:sz w:val="32"/>
          <w:szCs w:val="32"/>
        </w:rPr>
        <w:t>（二）政府采购情况</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2025年度政府采购支出总额38.75万元，其中：政府采购货物支出16.86万元、政府采购工程支出0.00万元、政府采购服务支出21.89万元。</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授予中小企业合同金额18.33万元，占政府采购支出总额的47.30%，其中：授予小微企业合同金额18.33万元，占政府采购支出总额的47.30%。</w:t>
      </w:r>
    </w:p>
    <w:p>
      <w:pPr>
        <w:widowControl/>
        <w:spacing w:before="0" w:beforeLines="0" w:beforeAutospacing="0" w:after="0" w:afterLines="0" w:afterAutospacing="0" w:line="240" w:lineRule="auto"/>
        <w:ind w:firstLine="640" w:firstLineChars="200"/>
        <w:jc w:val="left"/>
        <w:outlineLvl w:val="2"/>
        <w:rPr>
          <w:rFonts w:hint="eastAsia" w:ascii="楷体_GB2312" w:hAnsi="楷体_GB2312" w:eastAsia="楷体_GB2312" w:cs="楷体_GB2312"/>
          <w:b w:val="0"/>
          <w:sz w:val="32"/>
          <w:szCs w:val="32"/>
        </w:rPr>
      </w:pPr>
      <w:r>
        <w:rPr>
          <w:rFonts w:hint="eastAsia" w:ascii="楷体_GB2312" w:hAnsi="楷体_GB2312" w:eastAsia="楷体_GB2312" w:cs="楷体_GB2312"/>
          <w:b w:val="0"/>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截至2025年12月31日，房屋0.00平方米，价值0.00万元。车辆6辆，价值166.67万元，其中：副部（省）级及以上领导用车0辆、主要负责人用车0辆、机要通信用车0辆、应急保障用车0辆、执法执勤用车0辆、特种专业技术用车0辆、离退休干部服务用车0辆、其他用车6辆，其他用车主要是：保障正常公务活动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十一、预算绩效的情况说明</w:t>
      </w:r>
    </w:p>
    <w:p>
      <w:pPr>
        <w:widowControl/>
        <w:spacing w:before="0" w:beforeLines="0" w:beforeAutospacing="0" w:after="0" w:afterLines="0" w:afterAutospacing="0" w:line="240" w:lineRule="auto"/>
        <w:ind w:firstLine="640" w:firstLineChars="200"/>
        <w:jc w:val="both"/>
        <w:rPr>
          <w:rFonts w:ascii="Times New Roman" w:hAnsi="Times New Roman" w:eastAsia="仿宋_GB2312"/>
          <w:b w:val="0"/>
          <w:sz w:val="32"/>
          <w:szCs w:val="32"/>
        </w:rPr>
      </w:pPr>
      <w:r>
        <w:rPr>
          <w:rFonts w:ascii="Times New Roman" w:hAnsi="Times New Roman" w:eastAsia="仿宋_GB2312"/>
          <w:b w:val="0"/>
          <w:sz w:val="32"/>
          <w:szCs w:val="32"/>
        </w:rPr>
        <w:t>根据预算绩效管理要求，本部门2025年度预算绩效管理形成整体支出绩效自评表1个，全年预算总额1,478.44万元，实际执行总额1,472.30万元；预算绩效评价项目1个，全年预算数283.00万元，全年执行数281.13万元。预算绩效管理取得的成效：一是文稿服务水平稳步提升；二是重大专项工作成效显著；三是调查研究持续走深走实；四是智库建设工作成果丰硕；五是咨政建言作用发挥独特。发现的问题及原因：一是预算绩效目标设置还不够科学，量化指标可操作性还不够强；二是预算绩效管理队伍专业能力还有不足，政策理解和实操技能上还有待提升；三是结果应用还需强化，评价结果与预算分配、考核奖惩衔接还不够紧密。下一步改进措施：一是优化绩效目标体系，建立“单位战略—部门职能—项目目标”三级联动机制；二是强化队伍建设，通过集中授课、案例研讨等形式，组织开展专题培训，打造专业化队伍；三是深化结果应用实效，将评价结果与预算编制、资金分配直接挂钩，纳入部门年度绩效考核，明确权重占比，强化激励约束，打破“重评价、轻应用”局面。具体附整体支出绩效自评表、项目支出绩效自评表及项目支出绩效评价报告。</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黑体"/>
          <w:sz w:val="32"/>
          <w:szCs w:val="32"/>
        </w:rPr>
      </w:pPr>
      <w:r>
        <w:rPr>
          <w:rFonts w:ascii="Times New Roman" w:hAnsi="Times New Roman"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Times New Roman" w:hAnsi="Times New Roman" w:eastAsia="仿宋_GB2312"/>
          <w:sz w:val="32"/>
          <w:szCs w:val="32"/>
        </w:rPr>
      </w:pPr>
      <w:r>
        <w:rPr>
          <w:rFonts w:ascii="Times New Roman" w:hAnsi="Times New Roman" w:eastAsia="仿宋_GB2312"/>
          <w:b w:val="0"/>
          <w:sz w:val="32"/>
          <w:szCs w:val="32"/>
        </w:rPr>
        <w:t>本部门无其他需说明的事项。</w:t>
      </w:r>
    </w:p>
    <w:p>
      <w:pPr>
        <w:widowControl/>
        <w:spacing w:before="0" w:beforeLines="0" w:beforeAutospacing="0" w:after="0" w:afterLines="0" w:afterAutospacing="0" w:line="240" w:lineRule="auto"/>
        <w:ind w:firstLine="640" w:firstLineChars="200"/>
        <w:jc w:val="left"/>
        <w:rPr>
          <w:rFonts w:ascii="Times New Roman" w:hAnsi="Times New Roman" w:eastAsia="仿宋_GB2312"/>
          <w:sz w:val="32"/>
          <w:szCs w:val="32"/>
        </w:rPr>
      </w:pP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第三部分 专业名词解释</w:t>
      </w:r>
    </w:p>
    <w:p>
      <w:pPr>
        <w:widowControl/>
        <w:spacing w:before="0" w:beforeLines="0" w:beforeAutospacing="0" w:after="0" w:afterLines="0" w:afterAutospacing="0" w:line="240" w:lineRule="auto"/>
        <w:ind w:firstLine="643" w:firstLineChars="200"/>
        <w:jc w:val="both"/>
        <w:rPr>
          <w:rFonts w:ascii="Times New Roman" w:hAnsi="Times New Roman" w:eastAsia="仿宋_GB2312"/>
          <w:b w:val="0"/>
          <w:sz w:val="32"/>
          <w:szCs w:val="32"/>
        </w:rPr>
      </w:pPr>
      <w:r>
        <w:rPr>
          <w:rFonts w:ascii="Times New Roman" w:hAnsi="Times New Roman" w:eastAsia="仿宋_GB2312"/>
          <w:b/>
          <w:sz w:val="32"/>
          <w:szCs w:val="32"/>
        </w:rPr>
        <w:t>一、财政拨款收入：</w:t>
      </w:r>
      <w:r>
        <w:rPr>
          <w:rFonts w:ascii="Times New Roman" w:hAnsi="Times New Roman" w:eastAsia="仿宋_GB2312"/>
          <w:b w:val="0"/>
          <w:sz w:val="32"/>
          <w:szCs w:val="32"/>
        </w:rPr>
        <w:t>指单位本年度从同级财政部门取得的财政拨款，包括一般公共预算财政拨款、政府性基金预算财政拨款和国有资本经营预算财政拨款。</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二、上级补助收入：</w:t>
      </w:r>
      <w:r>
        <w:rPr>
          <w:rFonts w:ascii="Times New Roman" w:hAnsi="Times New Roman"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三、事业收入：</w:t>
      </w:r>
      <w:r>
        <w:rPr>
          <w:rFonts w:ascii="Times New Roman" w:hAnsi="Times New Roman" w:eastAsia="仿宋_GB2312"/>
          <w:b w:val="0"/>
          <w:sz w:val="32"/>
          <w:szCs w:val="32"/>
        </w:rPr>
        <w:t>指事业单位开展专业业务活动及其辅助活动取得的收入。</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四、经营收入：</w:t>
      </w:r>
      <w:r>
        <w:rPr>
          <w:rFonts w:ascii="Times New Roman" w:hAnsi="Times New Roman"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五、附属单位上缴收入：</w:t>
      </w:r>
      <w:r>
        <w:rPr>
          <w:rFonts w:ascii="Times New Roman" w:hAnsi="Times New Roman" w:eastAsia="仿宋_GB2312"/>
          <w:b w:val="0"/>
          <w:sz w:val="32"/>
          <w:szCs w:val="32"/>
        </w:rPr>
        <w:t>指事业单位附属独立核算单位按照有关规定上缴的收入。</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六、其他收入：</w:t>
      </w:r>
      <w:r>
        <w:rPr>
          <w:rFonts w:ascii="Times New Roman" w:hAnsi="Times New Roman" w:eastAsia="仿宋_GB2312"/>
          <w:b w:val="0"/>
          <w:sz w:val="32"/>
          <w:szCs w:val="32"/>
        </w:rPr>
        <w:t>指单位取得的除上述“财政拨款收入”“上级补助收入”“事业收入”“经营收入”“附属单位上缴收入”以外的各项收入。</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七、年初结转和结余：</w:t>
      </w:r>
      <w:r>
        <w:rPr>
          <w:rFonts w:ascii="Times New Roman" w:hAnsi="Times New Roman" w:eastAsia="仿宋_GB2312"/>
          <w:b w:val="0"/>
          <w:sz w:val="32"/>
          <w:szCs w:val="32"/>
        </w:rPr>
        <w:t>指单位上年结转本年使用的基本支出结转、项目支出结转和结余、经营结余。</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八、使用非财政拨款结余（含专用结余）：</w:t>
      </w:r>
      <w:r>
        <w:rPr>
          <w:rFonts w:ascii="Times New Roman" w:hAnsi="Times New Roman" w:eastAsia="仿宋_GB2312"/>
          <w:b w:val="0"/>
          <w:sz w:val="32"/>
          <w:szCs w:val="32"/>
        </w:rPr>
        <w:t>指单位按照预算管理要求使用非财政拨款结余弥补收支差额的金额，以及使用专用结余安排支出的金额。</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九、结余分配</w:t>
      </w:r>
      <w:r>
        <w:rPr>
          <w:rFonts w:ascii="Times New Roman" w:hAnsi="Times New Roman" w:eastAsia="仿宋_GB2312"/>
          <w:b w:val="0"/>
          <w:sz w:val="32"/>
          <w:szCs w:val="32"/>
        </w:rPr>
        <w:t>：指单位缴纳企业所得税以及从非财政拨款结余或经营结余中提取各类结余的情况。</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十、年末结转和结余</w:t>
      </w:r>
      <w:r>
        <w:rPr>
          <w:rFonts w:ascii="Times New Roman" w:hAnsi="Times New Roman" w:eastAsia="仿宋_GB2312"/>
          <w:b w:val="0"/>
          <w:sz w:val="32"/>
          <w:szCs w:val="32"/>
        </w:rPr>
        <w:t>：指单位结转下年的基本支出结转、项目支出结转和结余、经营结余。</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十一、基本支出</w:t>
      </w:r>
      <w:r>
        <w:rPr>
          <w:rFonts w:ascii="Times New Roman" w:hAnsi="Times New Roman" w:eastAsia="仿宋_GB2312"/>
          <w:b w:val="0"/>
          <w:sz w:val="32"/>
          <w:szCs w:val="32"/>
        </w:rPr>
        <w:t>：指单位为保障机构正常运转、完成日常工作任务而发生的各项支出。</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十二、项目支出：</w:t>
      </w:r>
      <w:r>
        <w:rPr>
          <w:rFonts w:ascii="Times New Roman" w:hAnsi="Times New Roman" w:eastAsia="仿宋_GB2312"/>
          <w:b w:val="0"/>
          <w:sz w:val="32"/>
          <w:szCs w:val="32"/>
        </w:rPr>
        <w:t>指单位为完成特定的行政工作任务或事业发展目标，在基本支出之外发生的各项支出。</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十三、上缴上级支出：</w:t>
      </w:r>
      <w:r>
        <w:rPr>
          <w:rFonts w:ascii="Times New Roman" w:hAnsi="Times New Roman" w:eastAsia="仿宋_GB2312"/>
          <w:b w:val="0"/>
          <w:sz w:val="32"/>
          <w:szCs w:val="32"/>
        </w:rPr>
        <w:t>指事业单位按照财政部门和主管部门的规定上缴上级单位的支出。</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十四、经营支出：</w:t>
      </w:r>
      <w:r>
        <w:rPr>
          <w:rFonts w:ascii="Times New Roman" w:hAnsi="Times New Roman" w:eastAsia="仿宋_GB2312"/>
          <w:b w:val="0"/>
          <w:sz w:val="32"/>
          <w:szCs w:val="32"/>
        </w:rPr>
        <w:t>指事业单位在专业活动及辅助活动之外开展非独立核算经营活动发生的支出。</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十五、对附属单位补助支出：</w:t>
      </w:r>
      <w:r>
        <w:rPr>
          <w:rFonts w:ascii="Times New Roman" w:hAnsi="Times New Roman" w:eastAsia="仿宋_GB2312"/>
          <w:b w:val="0"/>
          <w:sz w:val="32"/>
          <w:szCs w:val="32"/>
        </w:rPr>
        <w:t>指事业单位用财政补助收入之外的收入对附属单位补助发生的支出。</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十六、“三公”经费：</w:t>
      </w:r>
      <w:r>
        <w:rPr>
          <w:rFonts w:ascii="Times New Roman" w:hAnsi="Times New Roman" w:eastAsia="仿宋_GB2312"/>
          <w:b w:val="0"/>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3" w:firstLineChars="200"/>
        <w:jc w:val="both"/>
        <w:rPr>
          <w:rFonts w:ascii="Times New Roman" w:hAnsi="Times New Roman" w:eastAsia="仿宋_GB2312"/>
          <w:sz w:val="32"/>
          <w:szCs w:val="32"/>
        </w:rPr>
      </w:pPr>
      <w:r>
        <w:rPr>
          <w:rFonts w:ascii="Times New Roman" w:hAnsi="Times New Roman" w:eastAsia="仿宋_GB2312"/>
          <w:b/>
          <w:sz w:val="32"/>
          <w:szCs w:val="32"/>
        </w:rPr>
        <w:t>十七、机关运行经费：</w:t>
      </w:r>
      <w:r>
        <w:rPr>
          <w:rFonts w:ascii="Times New Roman" w:hAnsi="Times New Roman" w:eastAsia="仿宋_GB2312"/>
          <w:b w:val="0"/>
          <w:sz w:val="32"/>
          <w:szCs w:val="32"/>
        </w:rPr>
        <w:t>指行政单位和参照公务员法管理的事业单位财政拨款基本支出中的公用经费支出。</w:t>
      </w:r>
    </w:p>
    <w:p>
      <w:pPr>
        <w:widowControl/>
        <w:rPr>
          <w:rFonts w:ascii="Times New Roman" w:hAnsi="Times New Roman"/>
        </w:rPr>
      </w:pPr>
      <w:r>
        <w:rPr>
          <w:rFonts w:ascii="Times New Roman" w:hAnsi="Times New Roman"/>
          <w:b w:val="0"/>
          <w:sz w:val="0"/>
          <w:szCs w:val="0"/>
        </w:rPr>
        <w:br w:type="page"/>
      </w:r>
    </w:p>
    <w:p>
      <w:pPr>
        <w:widowControl/>
        <w:spacing w:before="0" w:beforeLines="0" w:beforeAutospacing="0" w:after="0" w:afterLines="0" w:afterAutospacing="0" w:line="240" w:lineRule="auto"/>
        <w:jc w:val="center"/>
        <w:outlineLvl w:val="0"/>
        <w:rPr>
          <w:rFonts w:ascii="Times New Roman" w:hAnsi="Times New Roman" w:eastAsia="黑体"/>
          <w:sz w:val="32"/>
          <w:szCs w:val="32"/>
        </w:rPr>
      </w:pPr>
      <w:r>
        <w:rPr>
          <w:rFonts w:ascii="Times New Roman" w:hAnsi="Times New Roman" w:eastAsia="黑体"/>
          <w:b w:val="0"/>
          <w:sz w:val="32"/>
          <w:szCs w:val="32"/>
        </w:rPr>
        <w:t>第四部分 部门决算报表（见附表）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Times New Roman" w:hAnsi="Times New Roman" w:eastAsia="仿宋_GB2312"/>
          <w:sz w:val="32"/>
          <w:szCs w:val="32"/>
        </w:rPr>
      </w:pPr>
      <w:r>
        <w:rPr>
          <w:rFonts w:ascii="Times New Roman" w:hAnsi="Times New Roman"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6"/>
  <w:bordersDoNotSurroundHeader w:val="0"/>
  <w:bordersDoNotSurroundFooter w:val="0"/>
  <w:documentProtection w:enforcement="0"/>
  <w:displayHorizontalDrawingGridEvery w:val="1"/>
  <w:displayVerticalDrawingGridEvery w:val="1"/>
  <w:noPunctuationKerning w:val="1"/>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0346265"/>
    <w:rsid w:val="2BB517B8"/>
    <w:rsid w:val="43506EA6"/>
    <w:rsid w:val="635E743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7"/>
    <w:autoRedefine/>
    <w:qFormat/>
    <w:uiPriority w:val="9"/>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18"/>
    <w:autoRedefine/>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3"/>
    <w:basedOn w:val="1"/>
    <w:next w:val="1"/>
    <w:link w:val="19"/>
    <w:autoRedefine/>
    <w:unhideWhenUsed/>
    <w:qFormat/>
    <w:uiPriority w:val="9"/>
    <w:pPr>
      <w:keepNext/>
      <w:keepLines/>
      <w:spacing w:before="20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5">
    <w:name w:val="heading 4"/>
    <w:basedOn w:val="1"/>
    <w:next w:val="1"/>
    <w:link w:val="20"/>
    <w:autoRedefine/>
    <w:unhideWhenUsed/>
    <w:qFormat/>
    <w:uiPriority w:val="9"/>
    <w:pPr>
      <w:keepNext/>
      <w:keepLines/>
      <w:spacing w:before="20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unhideWhenUsed/>
    <w:qFormat/>
    <w:uiPriority w:val="99"/>
    <w:pPr>
      <w:ind w:left="720"/>
    </w:pPr>
  </w:style>
  <w:style w:type="paragraph" w:styleId="7">
    <w:name w:val="caption"/>
    <w:basedOn w:val="1"/>
    <w:next w:val="1"/>
    <w:autoRedefine/>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8">
    <w:name w:val="header"/>
    <w:basedOn w:val="1"/>
    <w:link w:val="16"/>
    <w:autoRedefine/>
    <w:unhideWhenUsed/>
    <w:qFormat/>
    <w:uiPriority w:val="99"/>
    <w:pPr>
      <w:tabs>
        <w:tab w:val="center" w:pos="4680"/>
        <w:tab w:val="right" w:pos="9360"/>
      </w:tabs>
    </w:pPr>
  </w:style>
  <w:style w:type="paragraph" w:styleId="9">
    <w:name w:val="Subtitle"/>
    <w:basedOn w:val="1"/>
    <w:next w:val="1"/>
    <w:link w:val="21"/>
    <w:autoRedefine/>
    <w:qFormat/>
    <w:uiPriority w:val="11"/>
    <w:pPr>
      <w:ind w:left="86"/>
    </w:pPr>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0">
    <w:name w:val="Title"/>
    <w:basedOn w:val="1"/>
    <w:next w:val="1"/>
    <w:link w:val="22"/>
    <w:autoRedefine/>
    <w:qFormat/>
    <w:uiPriority w:val="1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table" w:styleId="12">
    <w:name w:val="Table Grid"/>
    <w:basedOn w:val="11"/>
    <w:autoRedefine/>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autoRedefine/>
    <w:qFormat/>
    <w:uiPriority w:val="20"/>
    <w:rPr>
      <w:i/>
      <w:iCs/>
    </w:rPr>
  </w:style>
  <w:style w:type="character" w:styleId="15">
    <w:name w:val="Hyperlink"/>
    <w:basedOn w:val="13"/>
    <w:autoRedefine/>
    <w:unhideWhenUsed/>
    <w:qFormat/>
    <w:uiPriority w:val="99"/>
    <w:rPr>
      <w:color w:val="0000FF" w:themeColor="hyperlink"/>
      <w:u w:val="single"/>
      <w14:textFill>
        <w14:solidFill>
          <w14:schemeClr w14:val="hlink"/>
        </w14:solidFill>
      </w14:textFill>
    </w:rPr>
  </w:style>
  <w:style w:type="character" w:customStyle="1" w:styleId="16">
    <w:name w:val="Header Char"/>
    <w:basedOn w:val="13"/>
    <w:link w:val="8"/>
    <w:autoRedefine/>
    <w:qFormat/>
    <w:uiPriority w:val="99"/>
  </w:style>
  <w:style w:type="character" w:customStyle="1" w:styleId="17">
    <w:name w:val="Heading 1 Char"/>
    <w:basedOn w:val="13"/>
    <w:link w:val="2"/>
    <w:autoRedefine/>
    <w:qFormat/>
    <w:uiPriority w:val="9"/>
    <w:rPr>
      <w:rFonts w:asciiTheme="majorHAnsi" w:hAnsiTheme="majorHAnsi" w:eastAsiaTheme="majorEastAsia" w:cstheme="majorBidi"/>
      <w:b/>
      <w:bCs/>
      <w:color w:val="376092" w:themeColor="accent1" w:themeShade="BF"/>
      <w:sz w:val="28"/>
      <w:szCs w:val="28"/>
    </w:rPr>
  </w:style>
  <w:style w:type="character" w:customStyle="1" w:styleId="18">
    <w:name w:val="Heading 2 Char"/>
    <w:basedOn w:val="13"/>
    <w:link w:val="3"/>
    <w:autoRedefine/>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9">
    <w:name w:val="Heading 3 Char"/>
    <w:basedOn w:val="13"/>
    <w:link w:val="4"/>
    <w:autoRedefine/>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0">
    <w:name w:val="Heading 4 Char"/>
    <w:basedOn w:val="13"/>
    <w:link w:val="5"/>
    <w:autoRedefine/>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21">
    <w:name w:val="Subtitle Char"/>
    <w:basedOn w:val="13"/>
    <w:link w:val="9"/>
    <w:autoRedefine/>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character" w:customStyle="1" w:styleId="22">
    <w:name w:val="Title Char"/>
    <w:basedOn w:val="13"/>
    <w:link w:val="10"/>
    <w:autoRedefine/>
    <w:qFormat/>
    <w:uiPriority w:val="10"/>
    <w:rPr>
      <w:rFonts w:asciiTheme="majorHAnsi" w:hAnsiTheme="majorHAnsi" w:eastAsiaTheme="majorEastAsia" w:cstheme="majorBidi"/>
      <w:color w:val="17375E" w:themeColor="text2" w:themeShade="BF"/>
      <w:spacing w:val="5"/>
      <w:kern w:val="28"/>
      <w:sz w:val="52"/>
      <w:szCs w:val="5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TotalTime>764</TotalTime>
  <ScaleCrop>false</ScaleCrop>
  <LinksUpToDate>false</LinksUpToDate>
  <Application>WPS Office_12.8.2.16730_F1E327BC-269C-435d-A152-05C5408002CA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2026-08-17T11:09:00Z</dcterms:created>
  <dc:creator>财务</dc:creator>
  <cp:lastModifiedBy>财务</cp:lastModifiedBy>
  <cp:lastPrinted>2026-08-17T11:50:00Z</cp:lastPrinted>
  <dcterms:modified xsi:type="dcterms:W3CDTF">2026-08-21T01:58:53Z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2052-12.8.2.16730</vt:lpwstr>
  </property>
  <property fmtid="{D5CDD505-2E9C-101B-9397-08002B2CF9AE}" pid="3" name="ICV">
    <vt:lpwstr>C84B925AFE8F481D856371AD73029BB5_13</vt:lpwstr>
  </property>
</Properties>
</file>