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各项业务工作管理经费</w:t>
      </w:r>
      <w:r>
        <w:rPr>
          <w:rFonts w:hint="default" w:ascii="Times New Roman" w:hAnsi="Times New Roman" w:eastAsia="方正小标宋_GBK" w:cs="Times New Roman"/>
          <w:kern w:val="0"/>
          <w:sz w:val="48"/>
          <w:szCs w:val="48"/>
        </w:rPr>
        <w:t>项目支出绩效评价报告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项目名称：各项业务工作管理经费</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实施单位（公章）：新疆维吾尔自治区人民政府办公厅</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主管部门（公章）：新疆维吾尔自治区人民政府办公厅</w:t>
      </w:r>
    </w:p>
    <w:p>
      <w:pPr>
        <w:spacing w:line="700" w:lineRule="exact"/>
        <w:ind w:firstLine="1440" w:firstLineChars="400"/>
        <w:jc w:val="left"/>
        <w:rPr>
          <w:rFonts w:hint="eastAsia"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卫天</w:t>
      </w:r>
    </w:p>
    <w:p>
      <w:pPr>
        <w:spacing w:line="700" w:lineRule="exact"/>
        <w:ind w:firstLine="1440" w:firstLineChars="400"/>
        <w:jc w:val="left"/>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 </w:instrText>
          </w:r>
          <w:r>
            <w:rPr>
              <w:rFonts w:hint="default"/>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_Toc3458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_Toc16251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_Toc11655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_Toc25712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_Toc20967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_Toc29785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_Toc5544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_Toc29729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_Toc2344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_Toc6653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_Toc1453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_Toc32318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_Toc25505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_Toc8612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_Toc18470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_Toc21462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eastAsia="zh-Han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_Toc18363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_Toc22741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2"/>
            <w:tabs>
              <w:tab w:val="right" w:leader="middleDot" w:pos="8548"/>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_Toc7835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_Toc25529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_Toc3065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_Toc15260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0"/>
            <w:tabs>
              <w:tab w:val="right" w:leader="middleDot" w:pos="8548"/>
              <w:tab w:val="clear" w:pos="7980"/>
              <w:tab w:val="clear" w:pos="8190"/>
            </w:tabs>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_Toc17917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bCs/>
              <w:i w:val="0"/>
              <w:iCs w:val="0"/>
              <w:kern w:val="0"/>
              <w:sz w:val="32"/>
              <w:szCs w:val="32"/>
              <w:lang w:val="en-US" w:eastAsia="zh-CN" w:bidi="ar"/>
            </w:rPr>
            <w:t>附件2</w:t>
          </w:r>
          <w:r>
            <w:rPr>
              <w:rFonts w:hint="eastAsia" w:ascii="仿宋_GB2312" w:hAnsi="仿宋_GB2312" w:cs="仿宋_GB2312"/>
              <w:bCs/>
              <w:i w:val="0"/>
              <w:iCs w:val="0"/>
              <w:kern w:val="0"/>
              <w:sz w:val="32"/>
              <w:szCs w:val="32"/>
              <w:lang w:val="en-US" w:eastAsia="zh-CN" w:bidi="ar"/>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pPr>
        <w:rPr>
          <w:rFonts w:hint="default" w:ascii="Times New Roman" w:hAnsi="Times New Roman" w:eastAsia="宋体" w:cs="Times New Roman"/>
          <w:kern w:val="2"/>
          <w:sz w:val="21"/>
          <w:szCs w:val="24"/>
          <w:lang w:val="en-US" w:eastAsia="zh-CN" w:bidi="ar-SA"/>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20"/>
          <w:rFonts w:hint="default" w:ascii="Times New Roman" w:hAnsi="Times New Roman" w:eastAsia="黑体" w:cs="Times New Roman"/>
          <w:b w:val="0"/>
          <w:spacing w:val="-4"/>
          <w:sz w:val="32"/>
          <w:szCs w:val="32"/>
        </w:rPr>
      </w:pPr>
    </w:p>
    <w:p>
      <w:pPr>
        <w:spacing w:line="540" w:lineRule="exact"/>
        <w:ind w:firstLine="640"/>
        <w:rPr>
          <w:rStyle w:val="20"/>
          <w:rFonts w:hint="default" w:ascii="Times New Roman" w:hAnsi="Times New Roman" w:eastAsia="黑体" w:cs="Times New Roman"/>
          <w:b w:val="0"/>
          <w:spacing w:val="-4"/>
          <w:sz w:val="32"/>
          <w:szCs w:val="32"/>
        </w:rPr>
      </w:pPr>
    </w:p>
    <w:p>
      <w:pPr>
        <w:spacing w:line="540" w:lineRule="exact"/>
        <w:rPr>
          <w:rStyle w:val="20"/>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pPr>
        <w:spacing w:line="560" w:lineRule="exact"/>
        <w:ind w:firstLine="640" w:firstLineChars="200"/>
        <w:outlineLvl w:val="2"/>
        <w:rPr>
          <w:rFonts w:hint="default" w:ascii="Times New Roman" w:hAnsi="Times New Roman" w:eastAsia="仿宋_GB2312" w:cs="Times New Roman"/>
          <w:b w:val="0"/>
          <w:bCs w:val="0"/>
          <w:sz w:val="32"/>
          <w:szCs w:val="32"/>
        </w:rPr>
      </w:pPr>
      <w:bookmarkStart w:id="2" w:name="_Toc14982"/>
      <w:r>
        <w:rPr>
          <w:rFonts w:hint="default" w:ascii="Times New Roman" w:hAnsi="Times New Roman" w:eastAsia="仿宋_GB2312" w:cs="Times New Roman"/>
          <w:b w:val="0"/>
          <w:bCs w:val="0"/>
          <w:sz w:val="32"/>
          <w:szCs w:val="32"/>
        </w:rPr>
        <w:t>1</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rPr>
        <w:t>项目背景</w:t>
      </w:r>
      <w:bookmarkEnd w:id="2"/>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完整准确贯彻新时代党的治疆方略，牢牢扭住社会稳定和长治久安总目标，紧扣铸牢中华民族共同体意识工作主线，落实自治区党委、政府2025年各项决策部署，助力自治区经济社会高质量发展、扩大高水平开放、创造高品质生活、创新高效能治理、保障高水平安全，保障办公厅作为政府中枢协调机构依法履行核心职能，依据《中华人民共和国预算法》及自治区财政厅部门预算编制、项目支出标准体系等相关规定，设立本项目。2025年作为“八五”普法收官攻坚、基础设施“十张网”建设提速、营商环境持续优化的关键一年，办公厅履职任务艰巨，本项目为经常性业务保障类项目，是保障办公厅日常运转、履职尽责，推动各项决策部署落地见效的基础性、必要性项目，为全疆稳定发展提供坚实政务支撑。</w:t>
      </w:r>
    </w:p>
    <w:p>
      <w:pPr>
        <w:pStyle w:val="14"/>
        <w:numPr>
          <w:ilvl w:val="0"/>
          <w:numId w:val="0"/>
        </w:numPr>
        <w:spacing w:before="0" w:after="0" w:line="560" w:lineRule="exact"/>
        <w:ind w:left="0" w:leftChars="0" w:firstLine="640" w:firstLineChars="200"/>
        <w:jc w:val="both"/>
        <w:outlineLvl w:val="2"/>
        <w:rPr>
          <w:rFonts w:hint="default" w:ascii="Times New Roman" w:hAnsi="Times New Roman" w:eastAsia="仿宋_GB2312" w:cs="Times New Roman"/>
          <w:kern w:val="2"/>
          <w:lang w:val="en-US" w:eastAsia="zh-CN"/>
        </w:rPr>
      </w:pPr>
      <w:bookmarkStart w:id="3" w:name="_Toc30961"/>
      <w:r>
        <w:rPr>
          <w:rFonts w:hint="default" w:ascii="Times New Roman" w:hAnsi="Times New Roman" w:eastAsia="仿宋_GB2312" w:cs="Times New Roman"/>
          <w:b w:val="0"/>
          <w:bCs w:val="0"/>
          <w:kern w:val="2"/>
          <w:lang w:val="en-US" w:eastAsia="zh-CN"/>
        </w:rPr>
        <w:t>2.</w:t>
      </w:r>
      <w:r>
        <w:rPr>
          <w:rFonts w:hint="default" w:ascii="Times New Roman" w:hAnsi="Times New Roman" w:eastAsia="仿宋_GB2312" w:cs="Times New Roman"/>
          <w:b w:val="0"/>
          <w:bCs w:val="0"/>
          <w:kern w:val="2"/>
        </w:rPr>
        <w:t>项目主要内容</w:t>
      </w:r>
      <w:r>
        <w:rPr>
          <w:rFonts w:hint="eastAsia" w:ascii="Times New Roman" w:hAnsi="Times New Roman" w:eastAsia="仿宋_GB2312" w:cs="Times New Roman"/>
          <w:b w:val="0"/>
          <w:bCs w:val="0"/>
          <w:kern w:val="2"/>
          <w:lang w:val="en-US" w:eastAsia="zh-CN"/>
        </w:rPr>
        <w:t>及实施情况</w:t>
      </w:r>
      <w:bookmarkEnd w:id="3"/>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根据自治区财政厅规定“保重点、保基本、保民生、压一般”的原则，202</w:t>
      </w: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年政府办公厅本级主要包括</w:t>
      </w:r>
      <w:r>
        <w:rPr>
          <w:rFonts w:hint="eastAsia" w:eastAsia="仿宋_GB2312" w:cs="Times New Roman"/>
          <w:sz w:val="32"/>
          <w:szCs w:val="32"/>
          <w:highlight w:val="none"/>
          <w:lang w:val="en-US" w:eastAsia="zh-CN"/>
        </w:rPr>
        <w:t>开展专题活动</w:t>
      </w:r>
      <w:r>
        <w:rPr>
          <w:rFonts w:hint="eastAsia" w:ascii="Times New Roman" w:hAnsi="Times New Roman" w:eastAsia="仿宋_GB2312" w:cs="Times New Roman"/>
          <w:sz w:val="32"/>
          <w:szCs w:val="32"/>
          <w:highlight w:val="none"/>
          <w:lang w:val="en-US" w:eastAsia="zh-CN"/>
        </w:rPr>
        <w:t>、开展办公场所零星日常维修维护、保障办公场所安全</w:t>
      </w:r>
      <w:r>
        <w:rPr>
          <w:rFonts w:hint="eastAsia" w:eastAsia="仿宋_GB2312" w:cs="Times New Roman"/>
          <w:sz w:val="32"/>
          <w:szCs w:val="32"/>
          <w:highlight w:val="none"/>
          <w:lang w:val="en-US" w:eastAsia="zh-CN"/>
        </w:rPr>
        <w:t>、保障各类自治区级专题会议正常运转</w:t>
      </w:r>
      <w:r>
        <w:rPr>
          <w:rFonts w:hint="eastAsia" w:ascii="Times New Roman" w:hAnsi="Times New Roman" w:eastAsia="仿宋_GB2312" w:cs="Times New Roman"/>
          <w:sz w:val="32"/>
          <w:szCs w:val="32"/>
          <w:highlight w:val="none"/>
          <w:lang w:val="en-US" w:eastAsia="zh-CN"/>
        </w:rPr>
        <w:t>等经费支出</w:t>
      </w:r>
      <w:r>
        <w:rPr>
          <w:rFonts w:hint="default"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highlight w:val="none"/>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年，办公厅严格按照项目实施方案及相关工作要求，有序推进各项业务工作，全面落实项目绩效目标。</w:t>
      </w:r>
    </w:p>
    <w:p>
      <w:pPr>
        <w:numPr>
          <w:ilvl w:val="0"/>
          <w:numId w:val="0"/>
        </w:numPr>
        <w:spacing w:line="560" w:lineRule="exact"/>
        <w:ind w:firstLine="640" w:firstLineChars="200"/>
        <w:rPr>
          <w:rFonts w:hint="default"/>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组织管理：成立项目工作小组，明确责任分工，制定完善公文处理、会议组织、督查督办、资金使用等管理制度，确保项目实施有章可循、规范有序。</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业务推进：围绕核心职能，高效完成公文处理、会议保障、督查落实、政务信息编报、人大政协建议提案办理、应急保障等工作，同步做好信息化系统运维、后勤服务等保障工作，各项业务均按计划推进，未出现停滞、延误情况。</w:t>
      </w:r>
    </w:p>
    <w:p>
      <w:pPr>
        <w:spacing w:line="560" w:lineRule="exact"/>
        <w:ind w:firstLine="640" w:firstLineChars="20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（3）过程管控：加强项目实施全过程管控，定期对业务开展情况、资金使用情况进行检查，及时发现并整改问题，确保项目实施符合绩效目标要求。</w:t>
      </w:r>
    </w:p>
    <w:p>
      <w:pPr>
        <w:spacing w:line="560" w:lineRule="exact"/>
        <w:ind w:firstLine="640" w:firstLineChars="200"/>
        <w:rPr>
          <w:rFonts w:hint="default" w:ascii="Times New Roman" w:hAnsi="Times New Roman" w:cs="Times New Roman"/>
          <w:highlight w:val="none"/>
          <w:lang w:val="en-US"/>
        </w:rPr>
      </w:pPr>
      <w:r>
        <w:rPr>
          <w:rFonts w:hint="eastAsia" w:eastAsia="仿宋_GB2312" w:cs="Times New Roman"/>
          <w:sz w:val="32"/>
          <w:szCs w:val="32"/>
          <w:highlight w:val="none"/>
          <w:lang w:val="en-US" w:eastAsia="zh-CN"/>
        </w:rPr>
        <w:t>通过开展该项目，保障办公场所日常零星维修面积32200平方米，开展专题活动次数5次，信息化运维服务数量6项，有效保障了各类自治区级专题会议正常运转。</w:t>
      </w:r>
    </w:p>
    <w:p>
      <w:pPr>
        <w:spacing w:line="560" w:lineRule="exact"/>
        <w:ind w:firstLine="640"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val="0"/>
          <w:bCs w:val="0"/>
          <w:sz w:val="32"/>
          <w:szCs w:val="32"/>
        </w:rPr>
        <w:t>3</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rPr>
        <w:t>资金投入和使用情况</w:t>
      </w:r>
      <w:bookmarkEnd w:id="4"/>
    </w:p>
    <w:p>
      <w:pPr>
        <w:shd w:val="clear"/>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pPr>
        <w:shd w:val="clear"/>
        <w:spacing w:line="600" w:lineRule="exact"/>
        <w:ind w:firstLine="640" w:firstLineChars="200"/>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该项目年初预算数3348.80万元，全年预算数3348.80万元，该项目资金已全部落实到位，资金来源为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u w:val="none"/>
          <w:lang w:val="en-US" w:eastAsia="zh-CN"/>
        </w:rPr>
        <w:t>截止</w:t>
      </w:r>
      <w:r>
        <w:rPr>
          <w:rFonts w:hint="eastAsia" w:eastAsia="仿宋_GB2312" w:cs="Times New Roman"/>
          <w:sz w:val="32"/>
          <w:szCs w:val="32"/>
          <w:highlight w:val="none"/>
          <w:lang w:val="en-US" w:eastAsia="zh-CN"/>
        </w:rPr>
        <w:t>2025年12月31日</w:t>
      </w:r>
      <w:r>
        <w:rPr>
          <w:rFonts w:hint="default" w:ascii="Times New Roman" w:hAnsi="Times New Roman" w:eastAsia="仿宋_GB2312" w:cs="Times New Roman"/>
          <w:sz w:val="32"/>
          <w:szCs w:val="32"/>
          <w:highlight w:val="none"/>
          <w:lang w:val="en-US" w:eastAsia="zh-CN"/>
        </w:rPr>
        <w:t>，该项目全年执行数3212.16万元，预算执行率为</w:t>
      </w:r>
      <w:r>
        <w:rPr>
          <w:rFonts w:hint="eastAsia" w:eastAsia="仿宋_GB2312" w:cs="Times New Roman"/>
          <w:sz w:val="32"/>
          <w:szCs w:val="32"/>
          <w:highlight w:val="none"/>
          <w:lang w:val="en-US" w:eastAsia="zh-CN"/>
        </w:rPr>
        <w:t>95.92</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开展专题活动</w:t>
      </w:r>
      <w:r>
        <w:rPr>
          <w:rFonts w:hint="eastAsia" w:ascii="Times New Roman" w:hAnsi="Times New Roman" w:eastAsia="仿宋_GB2312" w:cs="Times New Roman"/>
          <w:sz w:val="32"/>
          <w:szCs w:val="32"/>
          <w:highlight w:val="none"/>
          <w:lang w:val="en-US" w:eastAsia="zh-CN"/>
        </w:rPr>
        <w:t>、开展办公场所零星日常维修维护、保障办公场所安全</w:t>
      </w:r>
      <w:r>
        <w:rPr>
          <w:rFonts w:hint="eastAsia" w:eastAsia="仿宋_GB2312" w:cs="Times New Roman"/>
          <w:sz w:val="32"/>
          <w:szCs w:val="32"/>
          <w:highlight w:val="none"/>
          <w:lang w:val="en-US" w:eastAsia="zh-CN"/>
        </w:rPr>
        <w:t>、保障各类自治区级专题会议正常运转</w:t>
      </w:r>
      <w:r>
        <w:rPr>
          <w:rFonts w:hint="eastAsia" w:ascii="Times New Roman" w:hAnsi="Times New Roman" w:eastAsia="仿宋_GB2312" w:cs="Times New Roman"/>
          <w:sz w:val="32"/>
          <w:szCs w:val="32"/>
          <w:highlight w:val="none"/>
          <w:lang w:val="en-US" w:eastAsia="zh-CN"/>
        </w:rPr>
        <w:t>等经费支出</w:t>
      </w:r>
      <w:r>
        <w:rPr>
          <w:rFonts w:hint="eastAsia" w:eastAsia="仿宋_GB2312" w:cs="Times New Roman"/>
          <w:sz w:val="32"/>
          <w:szCs w:val="32"/>
          <w:highlight w:val="none"/>
          <w:lang w:val="en-US" w:eastAsia="zh-CN"/>
        </w:rPr>
        <w:t>。</w:t>
      </w:r>
    </w:p>
    <w:p>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根据自治区财政厅规定“保重点、保基本、保民生、压一般”的原则，2025年政府办公厅“各项业务工作管理经费”项目主要用于开展“三办、三服务”等各项业务工作、补充办公经费不足、保障办公场所安全等。</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w:t>
      </w:r>
      <w:r>
        <w:rPr>
          <w:rFonts w:hint="eastAsia" w:ascii="仿宋_GB2312" w:hAnsi="仿宋_GB2312" w:eastAsia="仿宋_GB2312" w:cs="仿宋_GB2312"/>
          <w:color w:val="000000"/>
          <w:sz w:val="32"/>
          <w:szCs w:val="32"/>
          <w:highlight w:val="none"/>
          <w:shd w:val="clear" w:color="auto" w:fill="FFFFFF"/>
        </w:rPr>
        <w:t>政府办公厅各项经济活动制度化、规范化做好后勤服务保障</w:t>
      </w:r>
      <w:r>
        <w:rPr>
          <w:rFonts w:hint="eastAsia" w:ascii="Times New Roman" w:hAnsi="Times New Roman" w:eastAsia="仿宋_GB2312" w:cs="Times New Roman"/>
          <w:sz w:val="32"/>
          <w:szCs w:val="32"/>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各项业务工作管理经费及其预算执行情况。该项目由新疆维吾尔自治区人民政府办公厅负责实施，旨在开展“三办、三服务”等各项业务工作、补充办公经费不足、保障办公场所安全。项目预算涵盖从</w:t>
      </w:r>
      <w:r>
        <w:rPr>
          <w:rFonts w:hint="eastAsia" w:ascii="Times New Roman" w:hAnsi="Times New Roman" w:eastAsia="仿宋_GB2312" w:cs="Times New Roman"/>
          <w:b w:val="0"/>
          <w:bCs w:val="0"/>
          <w:highlight w:val="none"/>
          <w:lang w:val="en-US" w:eastAsia="zh-CN"/>
        </w:rPr>
        <w:t>2025年1月1日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2025年12月31日</w:t>
      </w:r>
      <w:r>
        <w:rPr>
          <w:rFonts w:hint="default" w:ascii="Times New Roman" w:hAnsi="Times New Roman" w:eastAsia="仿宋_GB2312" w:cs="Times New Roman"/>
          <w:b w:val="0"/>
          <w:bCs w:val="0"/>
          <w:highlight w:val="none"/>
        </w:rPr>
        <w:t>的全部资金投入与支出，涉及资金总额为3348.80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4"/>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4"/>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4"/>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4"/>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社会影响：考察项目对社会方面的综合影响。</w:t>
      </w:r>
    </w:p>
    <w:p>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4"/>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4"/>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numPr>
          <w:ilvl w:val="0"/>
          <w:numId w:val="0"/>
        </w:numPr>
        <w:spacing w:line="560" w:lineRule="exact"/>
        <w:ind w:firstLine="708" w:firstLineChars="200"/>
        <w:rPr>
          <w:rFonts w:hint="default"/>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）其他评价方法。</w:t>
      </w:r>
    </w:p>
    <w:p>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pPr>
        <w:pStyle w:val="14"/>
        <w:widowControl w:val="0"/>
        <w:spacing w:before="0" w:after="0" w:line="560" w:lineRule="exact"/>
        <w:ind w:firstLine="640" w:firstLineChars="200"/>
        <w:jc w:val="both"/>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14"/>
        <w:numPr>
          <w:ilvl w:val="0"/>
          <w:numId w:val="2"/>
        </w:numPr>
        <w:spacing w:before="0" w:after="0" w:line="560" w:lineRule="exact"/>
        <w:ind w:firstLine="711" w:firstLineChars="20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负责人</w:t>
      </w:r>
      <w:r>
        <w:rPr>
          <w:rFonts w:hint="default" w:ascii="Times New Roman" w:hAnsi="Times New Roman" w:eastAsia="仿宋_GB2312" w:cs="Times New Roman"/>
          <w:sz w:val="32"/>
          <w:szCs w:val="32"/>
          <w:highlight w:val="none"/>
        </w:rPr>
        <w:t>、项目管理专业人员及相关领域技术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outlineLvl w:val="0"/>
        <w:rPr>
          <w:rFonts w:hint="default" w:ascii="Times New Roman" w:hAnsi="Times New Roman" w:eastAsia="黑体" w:cs="Times New Roman"/>
          <w:sz w:val="32"/>
          <w:szCs w:val="32"/>
        </w:rPr>
      </w:pPr>
      <w:bookmarkStart w:id="33" w:name="_Toc29729"/>
      <w:r>
        <w:rPr>
          <w:rFonts w:hint="default" w:ascii="Times New Roman" w:hAnsi="Times New Roman" w:eastAsia="黑体" w:cs="Times New Roman"/>
          <w:sz w:val="32"/>
          <w:szCs w:val="32"/>
        </w:rPr>
        <w:t>综合评价情况及评价结论（附相关评分表）</w:t>
      </w:r>
      <w:bookmarkEnd w:id="33"/>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社会效益上发挥了积极作用，具体效益表现：保障各类自治区级专题会议正常运转</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整体实现了项目预期的实施价值。</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99.84</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19.84</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99.2</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8"/>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19.84</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99.84</w:t>
            </w:r>
          </w:p>
        </w:tc>
      </w:tr>
    </w:tbl>
    <w:p>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pPr>
        <w:pStyle w:val="14"/>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val="0"/>
          <w:bCs w:val="0"/>
          <w:sz w:val="32"/>
          <w:szCs w:val="32"/>
          <w:lang w:val="en-US" w:eastAsia="zh-CN"/>
        </w:rPr>
      </w:pPr>
      <w:bookmarkStart w:id="38" w:name="_Toc24345"/>
      <w:r>
        <w:rPr>
          <w:rFonts w:hint="default" w:ascii="Times New Roman" w:hAnsi="Times New Roman" w:eastAsia="仿宋_GB2312" w:cs="Times New Roman"/>
          <w:b w:val="0"/>
          <w:bCs w:val="0"/>
          <w:sz w:val="32"/>
          <w:szCs w:val="32"/>
          <w:lang w:val="en-US" w:eastAsia="zh-CN"/>
        </w:rPr>
        <w:t>1.项目立项</w:t>
      </w:r>
      <w:bookmarkEnd w:id="38"/>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val="0"/>
          <w:bCs w:val="0"/>
          <w:sz w:val="32"/>
          <w:szCs w:val="32"/>
          <w:lang w:val="en-US" w:eastAsia="zh-CN"/>
        </w:rPr>
      </w:pPr>
      <w:bookmarkStart w:id="41" w:name="_Toc22045"/>
      <w:r>
        <w:rPr>
          <w:rFonts w:hint="default" w:ascii="Times New Roman" w:hAnsi="Times New Roman" w:eastAsia="仿宋_GB2312" w:cs="Times New Roman"/>
          <w:b w:val="0"/>
          <w:bCs w:val="0"/>
          <w:sz w:val="32"/>
          <w:szCs w:val="32"/>
          <w:lang w:val="en-US" w:eastAsia="zh-CN"/>
        </w:rPr>
        <w:t>2.绩效目标</w:t>
      </w:r>
      <w:bookmarkEnd w:id="41"/>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结合实际，围绕“保障运转、提升效能、规范管理”设定绩效目标，具体明确了“年度完成公文处理、会议组织、督查落实等核心任务、达成政务服务高效运转、资金使用规范高效”的核心内容。目标设定依据充分，既参考了办公厅往年公文处理量、会议保障场次、重大决策部署督查任务量、电子政务运维需求等历史数据及年度业务测算标准，又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故得满分。</w:t>
      </w:r>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办公场所日常零星维修保障面积</w:t>
      </w:r>
      <w:r>
        <w:rPr>
          <w:rFonts w:hint="eastAsia" w:eastAsia="仿宋_GB2312" w:cs="Times New Roman"/>
          <w:sz w:val="32"/>
          <w:szCs w:val="32"/>
          <w:lang w:val="en-US" w:eastAsia="zh-CN"/>
        </w:rPr>
        <w:t>”“开展专题活动次数”“政府公报印刷册数”</w:t>
      </w:r>
      <w:r>
        <w:rPr>
          <w:rFonts w:hint="default" w:ascii="Times New Roman" w:hAnsi="Times New Roman" w:eastAsia="仿宋_GB2312" w:cs="Times New Roman"/>
          <w:sz w:val="32"/>
          <w:szCs w:val="32"/>
          <w:lang w:val="en-US" w:eastAsia="zh-CN"/>
        </w:rPr>
        <w:t>等可量化、可衡量的三级指标，每个指标均明确了具体指标值</w:t>
      </w:r>
      <w:r>
        <w:rPr>
          <w:rFonts w:hint="eastAsia" w:eastAsia="仿宋_GB2312" w:cs="Times New Roman"/>
          <w:sz w:val="32"/>
          <w:szCs w:val="32"/>
          <w:lang w:val="en-US" w:eastAsia="zh-CN"/>
        </w:rPr>
        <w:t>“办公场所日常零星维修保障面积=32200平方米”“开展专题活动次数=5次”“政府公报印刷册数=12册”</w:t>
      </w:r>
      <w:r>
        <w:rPr>
          <w:rFonts w:hint="default" w:ascii="Times New Roman" w:hAnsi="Times New Roman" w:eastAsia="仿宋_GB2312" w:cs="Times New Roman"/>
          <w:sz w:val="32"/>
          <w:szCs w:val="32"/>
          <w:lang w:val="en-US" w:eastAsia="zh-CN"/>
        </w:rPr>
        <w:t>，且指标值与项目目标任务数一一对应。指标设定清晰无歧义，既涵盖了产出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，满足评分标准中“指标细化分解、可衡量、与任务数对应”的要求</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故得满分。</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val="0"/>
          <w:bCs w:val="0"/>
          <w:sz w:val="32"/>
          <w:szCs w:val="32"/>
          <w:lang w:val="en-US" w:eastAsia="zh-CN"/>
        </w:rPr>
        <w:t>3.资金投入</w:t>
      </w:r>
      <w:bookmarkEnd w:id="44"/>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pPr>
        <w:shd w:val="clear"/>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业务工作管理经费项目支出水平及当前办公耗材、会议服务、信息化运维、调研督查等相关物价水平，测算支出3348.80万元。预算编制过程经过业务科室、财务部门双重审核，无漏项、超项情况，预算内容与项目“保障办公厅办文、办会、办事、综合协调、督查督办等日常业务有序开展”“全年规范处理各类公文、保障各类会议、完成重大决策部署督查、确保电子政务平台正常运行”等核心任务、产出目标完全匹配，资金额度与各季度阶段性工作任务量精准适配，符合评分标准中“经过科学论证、内容与项目匹配、额度依据充分、与工作任务匹配”的全部评价要点，故得满分。</w:t>
      </w:r>
    </w:p>
    <w:p>
      <w:pPr>
        <w:shd w:val="clear"/>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故得满分。</w:t>
      </w:r>
    </w:p>
    <w:p>
      <w:pPr>
        <w:pStyle w:val="14"/>
        <w:numPr>
          <w:ilvl w:val="0"/>
          <w:numId w:val="4"/>
        </w:numPr>
        <w:spacing w:before="0" w:after="0" w:line="560" w:lineRule="exact"/>
        <w:ind w:firstLine="643" w:firstLineChars="200"/>
        <w:jc w:val="both"/>
        <w:outlineLvl w:val="1"/>
        <w:rPr>
          <w:rFonts w:hint="default" w:ascii="Times New Roman" w:hAnsi="Times New Roman" w:eastAsia="楷体" w:cs="Times New Roman"/>
        </w:rPr>
      </w:pPr>
      <w:bookmarkStart w:id="47" w:name="_Toc25505"/>
      <w:r>
        <w:rPr>
          <w:rFonts w:hint="default" w:ascii="Times New Roman" w:hAnsi="Times New Roman" w:eastAsia="楷体" w:cs="Times New Roman"/>
        </w:rPr>
        <w:t>项目过程情况</w:t>
      </w:r>
      <w:bookmarkEnd w:id="47"/>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19.84</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99.2</w:t>
      </w:r>
      <w:r>
        <w:rPr>
          <w:rFonts w:hint="default" w:ascii="Times New Roman" w:hAnsi="Times New Roman" w:eastAsia="仿宋_GB2312" w:cs="Times New Roman"/>
          <w:sz w:val="32"/>
          <w:szCs w:val="32"/>
          <w:highlight w:val="none"/>
          <w:lang w:val="en-US" w:eastAsia="zh-CN"/>
        </w:rPr>
        <w:t>%。</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val="0"/>
          <w:bCs w:val="0"/>
          <w:sz w:val="32"/>
          <w:szCs w:val="32"/>
          <w:lang w:val="en-US" w:eastAsia="zh-CN"/>
        </w:rPr>
      </w:pPr>
      <w:bookmarkStart w:id="48" w:name="_Toc23265"/>
      <w:r>
        <w:rPr>
          <w:rFonts w:hint="default" w:ascii="Times New Roman" w:hAnsi="Times New Roman" w:eastAsia="仿宋_GB2312" w:cs="Times New Roman"/>
          <w:b w:val="0"/>
          <w:bCs w:val="0"/>
          <w:sz w:val="32"/>
          <w:szCs w:val="32"/>
          <w:lang w:val="en-US" w:eastAsia="zh-CN"/>
        </w:rPr>
        <w:t>1.资金管理</w:t>
      </w:r>
      <w:bookmarkEnd w:id="48"/>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项目总投资3348.80万元，实际到位资金3348.80</w:t>
      </w:r>
      <w:r>
        <w:rPr>
          <w:rFonts w:hint="eastAsia" w:eastAsia="仿宋_GB2312" w:cs="Times New Roman"/>
          <w:sz w:val="32"/>
          <w:szCs w:val="32"/>
          <w:highlight w:val="none"/>
          <w:lang w:val="en-US" w:eastAsia="zh-CN"/>
        </w:rPr>
        <w:t>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pPr>
        <w:shd w:val="clear"/>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本项目全年预算3348.80万元，全年实际</w:t>
      </w:r>
      <w:r>
        <w:rPr>
          <w:rFonts w:hint="default" w:ascii="Times New Roman" w:hAnsi="Times New Roman" w:eastAsia="仿宋_GB2312" w:cs="Times New Roman"/>
          <w:sz w:val="32"/>
          <w:szCs w:val="32"/>
          <w:highlight w:val="none"/>
          <w:lang w:val="en-US" w:eastAsia="zh-CN"/>
        </w:rPr>
        <w:t>支出3212.16万元，预算执行率为</w:t>
      </w:r>
      <w:r>
        <w:rPr>
          <w:rFonts w:hint="eastAsia" w:eastAsia="仿宋_GB2312" w:cs="Times New Roman"/>
          <w:sz w:val="32"/>
          <w:szCs w:val="32"/>
          <w:highlight w:val="none"/>
          <w:lang w:val="en-US" w:eastAsia="zh-CN"/>
        </w:rPr>
        <w:t>95.92</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，该指标满分为4分，根据评分标准得3.84分。</w:t>
      </w:r>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项目资金使用严格遵守《预算法》等法律法规及财务制度，全程规范可控：①资金拨付均履行“申请-审核-审批”流程，附完整的合同、发票、验收单等佐证资料，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故得满分。</w:t>
      </w:r>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2.组织实施</w:t>
      </w:r>
      <w:bookmarkEnd w:id="52"/>
    </w:p>
    <w:p>
      <w:pPr>
        <w:shd w:val="clear"/>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val="en-US" w:eastAsia="zh-CN"/>
        </w:rPr>
        <w:t>相关的管理</w:t>
      </w:r>
      <w:r>
        <w:rPr>
          <w:rFonts w:hint="default" w:ascii="Times New Roman" w:hAnsi="Times New Roman" w:eastAsia="仿宋_GB2312" w:cs="Times New Roman"/>
          <w:sz w:val="32"/>
          <w:szCs w:val="32"/>
          <w:highlight w:val="none"/>
          <w:lang w:eastAsia="zh-CN"/>
        </w:rPr>
        <w:t>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故得满分。</w:t>
      </w:r>
    </w:p>
    <w:p>
      <w:pPr>
        <w:shd w:val="clear"/>
        <w:spacing w:line="600" w:lineRule="exact"/>
        <w:ind w:firstLine="640" w:firstLineChars="200"/>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pPr>
        <w:pStyle w:val="2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w:t>
      </w:r>
      <w:r>
        <w:rPr>
          <w:rFonts w:hint="eastAsia" w:eastAsia="仿宋_GB2312" w:cs="Times New Roman"/>
          <w:sz w:val="32"/>
          <w:szCs w:val="32"/>
          <w:lang w:val="en-US" w:eastAsia="zh-CN"/>
        </w:rPr>
        <w:t>维修验收单</w:t>
      </w:r>
      <w:r>
        <w:rPr>
          <w:rFonts w:hint="default" w:ascii="Times New Roman" w:hAnsi="Times New Roman" w:eastAsia="仿宋_GB2312" w:cs="Times New Roman"/>
          <w:sz w:val="32"/>
          <w:szCs w:val="32"/>
          <w:highlight w:val="none"/>
          <w:lang w:eastAsia="zh-CN"/>
        </w:rPr>
        <w:t>、财务凭证等资料齐全，均按要求及时归档</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highlight w:val="none"/>
          <w:lang w:val="en-US" w:eastAsia="zh-Hans"/>
        </w:rPr>
        <w:t>，</w:t>
      </w:r>
      <w:r>
        <w:rPr>
          <w:rFonts w:hint="default" w:ascii="Times New Roman" w:hAnsi="Times New Roman" w:eastAsia="仿宋_GB2312" w:cs="Times New Roman"/>
          <w:sz w:val="32"/>
          <w:szCs w:val="32"/>
          <w:highlight w:val="none"/>
          <w:lang w:val="en-US" w:eastAsia="zh-CN"/>
        </w:rPr>
        <w:t>故得满分</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p>
    <w:p>
      <w:pPr>
        <w:pStyle w:val="16"/>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default" w:ascii="Times New Roman" w:hAnsi="Times New Roman" w:eastAsia="仿宋_GB2312" w:cs="Times New Roman"/>
          <w:sz w:val="32"/>
          <w:szCs w:val="32"/>
          <w:highlight w:val="none"/>
          <w:lang w:val="en-US" w:eastAsia="zh-CN"/>
        </w:rPr>
        <w:t>产出成本</w:t>
      </w:r>
      <w:r>
        <w:rPr>
          <w:rFonts w:hint="default" w:ascii="Times New Roman" w:hAnsi="Times New Roman" w:eastAsia="仿宋_GB2312" w:cs="Times New Roman"/>
          <w:sz w:val="32"/>
          <w:szCs w:val="32"/>
          <w:lang w:val="en-US" w:eastAsia="zh-CN"/>
        </w:rPr>
        <w:t>四方面的内容，由</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lang w:val="en-US" w:eastAsia="zh-CN"/>
        </w:rPr>
        <w:t>实际完成率</w:t>
      </w:r>
    </w:p>
    <w:p>
      <w:pPr>
        <w:shd w:val="clear"/>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数量指标1：办公场所日常零星维修保障面积，指标值：=32200平方米，实际完成值：32200平方米，指标完成率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：开展专题活动次数，指标值：</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：信息化运维服务数量，指标值：</w:t>
      </w:r>
      <w:r>
        <w:rPr>
          <w:rFonts w:hint="eastAsia" w:eastAsia="仿宋_GB2312" w:cs="Times New Roman"/>
          <w:sz w:val="32"/>
          <w:szCs w:val="32"/>
          <w:highlight w:val="none"/>
          <w:lang w:val="en-US" w:eastAsia="zh-CN"/>
        </w:rPr>
        <w:t>=6项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：业务专项工作数量，指标值：</w:t>
      </w:r>
      <w:r>
        <w:rPr>
          <w:rFonts w:hint="eastAsia" w:eastAsia="仿宋_GB2312" w:cs="Times New Roman"/>
          <w:sz w:val="32"/>
          <w:szCs w:val="32"/>
          <w:highlight w:val="none"/>
          <w:lang w:val="en-US" w:eastAsia="zh-CN"/>
        </w:rPr>
        <w:t>=12项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：政府公报印刷册数，指标值：&gt;=12册，实际完成值：</w:t>
      </w:r>
      <w:r>
        <w:rPr>
          <w:rFonts w:hint="eastAsia" w:eastAsia="仿宋_GB2312" w:cs="Times New Roman"/>
          <w:sz w:val="32"/>
          <w:szCs w:val="32"/>
          <w:highlight w:val="none"/>
          <w:lang w:val="en-US" w:eastAsia="zh-CN"/>
        </w:rPr>
        <w:t>12册</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pPr>
        <w:shd w:val="clear"/>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2.质量达标率</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质量指标1：日常维修验收合格率，指标值：</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98%，实际完成值：100%，指标完成率102.04%。</w:t>
      </w:r>
    </w:p>
    <w:p>
      <w:pPr>
        <w:keepNext w:val="0"/>
        <w:keepLines w:val="0"/>
        <w:pageBreakBefore w:val="0"/>
        <w:widowControl w:val="0"/>
        <w:shd w:val="clear"/>
        <w:kinsoku w:val="0"/>
        <w:wordWrap/>
        <w:overflowPunct/>
        <w:topLinePunct w:val="0"/>
        <w:autoSpaceDE w:val="0"/>
        <w:autoSpaceDN w:val="0"/>
        <w:bidi w:val="0"/>
        <w:adjustRightInd/>
        <w:snapToGrid/>
        <w:spacing w:line="60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质量指标</w:t>
      </w:r>
      <w:r>
        <w:rPr>
          <w:rFonts w:hint="eastAsia" w:eastAsia="仿宋_GB2312" w:cs="Times New Roman"/>
          <w:sz w:val="32"/>
          <w:szCs w:val="32"/>
          <w:highlight w:val="none"/>
          <w:lang w:val="en-US" w:eastAsia="zh-CN"/>
        </w:rPr>
        <w:t>2：政府公报印刷校验合格率，指标值：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100%，实际完成值：100%，指标完成率100%。</w:t>
      </w:r>
    </w:p>
    <w:p>
      <w:pPr>
        <w:keepNext w:val="0"/>
        <w:keepLines w:val="0"/>
        <w:pageBreakBefore w:val="0"/>
        <w:widowControl w:val="0"/>
        <w:shd w:val="clear"/>
        <w:kinsoku w:val="0"/>
        <w:wordWrap/>
        <w:overflowPunct/>
        <w:topLinePunct w:val="0"/>
        <w:autoSpaceDE w:val="0"/>
        <w:autoSpaceDN w:val="0"/>
        <w:bidi w:val="0"/>
        <w:adjustRightInd/>
        <w:snapToGrid/>
        <w:spacing w:line="60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质量指标3：系统故障率（%），指标值：&lt;=3%，实际完成值：3%，指标完成率100%。</w:t>
      </w:r>
    </w:p>
    <w:p>
      <w:pPr>
        <w:shd w:val="clear"/>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pPr>
        <w:shd w:val="clear"/>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3.完成及时性</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eastAsia"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1：信息化运维修复处理时间，指标值：&lt;=4小时，实际完成值：4小时，指标完成率100%。</w:t>
      </w:r>
    </w:p>
    <w:p>
      <w:pPr>
        <w:shd w:val="clear"/>
        <w:spacing w:line="600" w:lineRule="exact"/>
        <w:ind w:firstLine="640" w:firstLineChars="200"/>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w:t>
      </w:r>
      <w:r>
        <w:rPr>
          <w:rFonts w:hint="eastAsia"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2：专题活动开展及时率，指标值：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100%，实际完成值：100%，指标完成率100%。</w:t>
      </w:r>
    </w:p>
    <w:p>
      <w:pPr>
        <w:shd w:val="clear"/>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pPr>
        <w:shd w:val="clear"/>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4.成本节约率</w:t>
      </w:r>
      <w:r>
        <w:rPr>
          <w:rFonts w:hint="default" w:eastAsia="仿宋_GB2312" w:cs="Times New Roman"/>
          <w:sz w:val="32"/>
          <w:szCs w:val="32"/>
          <w:highlight w:val="none"/>
          <w:lang w:val="en-US" w:eastAsia="zh-CN"/>
        </w:rPr>
        <w:t>：</w:t>
      </w:r>
    </w:p>
    <w:p>
      <w:pPr>
        <w:shd w:val="clear"/>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本项目不涉及成本指标相关内容，</w:t>
      </w:r>
      <w:r>
        <w:rPr>
          <w:rFonts w:hint="default" w:ascii="Times New Roman" w:hAnsi="Times New Roman" w:eastAsia="仿宋_GB2312" w:cs="Times New Roman"/>
          <w:sz w:val="32"/>
          <w:szCs w:val="32"/>
          <w:highlight w:val="none"/>
          <w:lang w:val="en-US" w:eastAsia="zh-CN"/>
        </w:rPr>
        <w:t>根据指标评价规则，无此项任务视同完成，按满分计分。</w:t>
      </w:r>
    </w:p>
    <w:p>
      <w:pPr>
        <w:pStyle w:val="16"/>
        <w:numPr>
          <w:ilvl w:val="0"/>
          <w:numId w:val="0"/>
        </w:numPr>
        <w:spacing w:line="560" w:lineRule="exact"/>
        <w:ind w:firstLine="640" w:firstLineChars="200"/>
        <w:outlineLvl w:val="1"/>
        <w:rPr>
          <w:rFonts w:hint="eastAsia" w:eastAsia="楷体_GB2312" w:cs="Times New Roman"/>
          <w:b/>
          <w:bCs/>
          <w:sz w:val="32"/>
          <w:szCs w:val="32"/>
          <w:lang w:val="en-US" w:eastAsia="zh-CN"/>
        </w:rPr>
      </w:pPr>
      <w:bookmarkStart w:id="56" w:name="_Toc18470"/>
      <w:r>
        <w:rPr>
          <w:rFonts w:hint="eastAsia" w:eastAsia="仿宋_GB2312" w:cs="Times New Roman"/>
          <w:sz w:val="32"/>
          <w:szCs w:val="32"/>
          <w:highlight w:val="none"/>
          <w:lang w:val="en-US" w:eastAsia="zh-CN"/>
        </w:rPr>
        <w:t>该指标满分为10分，根据评分标准得10分。</w:t>
      </w:r>
    </w:p>
    <w:p>
      <w:pPr>
        <w:pStyle w:val="16"/>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pPr>
        <w:shd w:val="clear"/>
        <w:spacing w:line="600" w:lineRule="exact"/>
        <w:ind w:firstLine="640" w:firstLineChars="200"/>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效益指标：保障各类自治区级专题会议正常运转，指标值：有效保障，实际完成值：有效保障，指标完成率100%。</w:t>
      </w:r>
    </w:p>
    <w:p>
      <w:pPr>
        <w:shd w:val="clear"/>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pPr>
        <w:shd w:val="clear"/>
        <w:spacing w:line="600" w:lineRule="exact"/>
        <w:ind w:firstLine="640" w:firstLineChars="200"/>
        <w:outlineLvl w:val="2"/>
        <w:rPr>
          <w:rFonts w:hint="default" w:ascii="Times New Roman" w:hAnsi="Times New Roman" w:eastAsia="仿宋_GB2312" w:cs="Times New Roman"/>
          <w:sz w:val="32"/>
          <w:szCs w:val="32"/>
          <w:highlight w:val="none"/>
          <w:lang w:val="en-US" w:eastAsia="zh-CN"/>
        </w:rPr>
      </w:pPr>
      <w:bookmarkStart w:id="58" w:name="_Toc5313"/>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满意度</w:t>
      </w:r>
      <w:bookmarkEnd w:id="58"/>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本项目不涉及满意度指标相关内容，</w:t>
      </w:r>
      <w:r>
        <w:rPr>
          <w:rFonts w:hint="default" w:ascii="Times New Roman" w:hAnsi="Times New Roman" w:eastAsia="仿宋_GB2312" w:cs="Times New Roman"/>
          <w:sz w:val="32"/>
          <w:szCs w:val="32"/>
          <w:highlight w:val="none"/>
          <w:lang w:val="en-US" w:eastAsia="zh-CN"/>
        </w:rPr>
        <w:t>根据指标评价规则，无此项任务视同完成，按满分计分。</w:t>
      </w:r>
    </w:p>
    <w:p>
      <w:pPr>
        <w:shd w:val="clear"/>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pPr>
        <w:spacing w:line="560" w:lineRule="exact"/>
        <w:ind w:firstLine="640" w:firstLineChars="200"/>
        <w:outlineLvl w:val="0"/>
        <w:rPr>
          <w:rFonts w:hint="default" w:ascii="黑体" w:hAnsi="黑体" w:eastAsia="黑体" w:cs="黑体"/>
          <w:b w:val="0"/>
          <w:bCs w:val="0"/>
          <w:sz w:val="32"/>
          <w:szCs w:val="32"/>
          <w:lang w:val="en-US" w:eastAsia="zh-CN"/>
        </w:rPr>
      </w:pPr>
      <w:bookmarkStart w:id="59"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w:t>
      </w:r>
      <w:bookmarkEnd w:id="59"/>
      <w:r>
        <w:rPr>
          <w:rFonts w:hint="eastAsia" w:ascii="黑体" w:hAnsi="黑体" w:eastAsia="黑体" w:cs="黑体"/>
          <w:b w:val="0"/>
          <w:bCs w:val="0"/>
          <w:sz w:val="32"/>
          <w:szCs w:val="32"/>
          <w:lang w:val="en-US" w:eastAsia="zh-CN"/>
        </w:rPr>
        <w:t>绩效指标偏差</w:t>
      </w:r>
    </w:p>
    <w:p>
      <w:pPr>
        <w:pStyle w:val="23"/>
        <w:spacing w:line="560" w:lineRule="exact"/>
        <w:ind w:firstLine="640"/>
        <w:rPr>
          <w:rFonts w:hint="eastAsia"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各项业务工作管理经费项目年初预算3348.80万元，全年预算3348.80万元，实际支出3212.16万元，预算执行率为95.92%，项目绩效指标总体完成率为100%，</w:t>
      </w:r>
      <w:r>
        <w:rPr>
          <w:rFonts w:hint="eastAsia" w:ascii="Times New Roman" w:hAnsi="Times New Roman" w:eastAsia="仿宋_GB2312" w:cs="Times New Roman"/>
          <w:kern w:val="2"/>
          <w:sz w:val="32"/>
          <w:szCs w:val="32"/>
          <w:highlight w:val="none"/>
          <w:lang w:val="en-US" w:eastAsia="zh-Hans" w:bidi="ar-SA"/>
        </w:rPr>
        <w:t>总体</w:t>
      </w:r>
      <w:r>
        <w:rPr>
          <w:rFonts w:hint="eastAsia" w:ascii="Times New Roman" w:hAnsi="Times New Roman" w:eastAsia="仿宋_GB2312" w:cs="Times New Roman"/>
          <w:kern w:val="2"/>
          <w:sz w:val="32"/>
          <w:szCs w:val="32"/>
          <w:highlight w:val="none"/>
          <w:lang w:val="en-US" w:eastAsia="zh-CN" w:bidi="ar-SA"/>
        </w:rPr>
        <w:t>偏差率为4.08%。</w:t>
      </w:r>
    </w:p>
    <w:p>
      <w:pPr>
        <w:spacing w:line="560" w:lineRule="exact"/>
        <w:ind w:firstLine="640" w:firstLineChars="200"/>
        <w:outlineLvl w:val="0"/>
        <w:rPr>
          <w:rStyle w:val="22"/>
          <w:rFonts w:hint="default" w:ascii="Times New Roman" w:hAnsi="Times New Roman" w:cs="Times New Roman"/>
          <w:color w:val="auto"/>
        </w:rPr>
      </w:pPr>
      <w:bookmarkStart w:id="60"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60"/>
    </w:p>
    <w:p>
      <w:pPr>
        <w:spacing w:line="560" w:lineRule="exact"/>
        <w:ind w:firstLine="627" w:firstLineChars="200"/>
        <w:outlineLvl w:val="1"/>
        <w:rPr>
          <w:rFonts w:hint="default" w:ascii="Times New Roman" w:hAnsi="Times New Roman" w:eastAsia="楷体" w:cs="Times New Roman"/>
          <w:b/>
          <w:spacing w:val="-4"/>
          <w:sz w:val="32"/>
          <w:szCs w:val="32"/>
        </w:rPr>
      </w:pPr>
      <w:bookmarkStart w:id="61" w:name="_Toc22741"/>
      <w:r>
        <w:rPr>
          <w:rFonts w:hint="default" w:ascii="Times New Roman" w:hAnsi="Times New Roman" w:eastAsia="楷体" w:cs="Times New Roman"/>
          <w:b/>
          <w:spacing w:val="-4"/>
          <w:sz w:val="32"/>
          <w:szCs w:val="32"/>
        </w:rPr>
        <w:t>（一）主要经验及做法</w:t>
      </w:r>
      <w:bookmarkEnd w:id="61"/>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1.精准编制预算，严控资金管理。严格遵循“精准测算、按需配置”原则，结合项目实施方案、具体任务清单及往年同类项目支出水平、当前物价标准，科学测算预算3348.80万元，确保预算额度与工作任务精准匹配。建立业务科室、财务部门双重审核机制，杜绝预算漏项、超项，实行资金使用清单化、标准化管理，全程跟踪资金支出进度，严控非必要开支，确保</w:t>
      </w:r>
    </w:p>
    <w:p>
      <w:pPr>
        <w:pStyle w:val="14"/>
        <w:keepNext w:val="0"/>
        <w:keepLines w:val="0"/>
        <w:pageBreakBefore w:val="0"/>
        <w:widowControl/>
        <w:kinsoku/>
        <w:wordWrap/>
        <w:overflowPunct/>
        <w:topLinePunct w:val="0"/>
        <w:autoSpaceDE/>
        <w:autoSpaceDN/>
        <w:bidi w:val="0"/>
        <w:adjustRightInd/>
        <w:snapToGrid/>
        <w:spacing w:before="0" w:after="0" w:line="560" w:lineRule="exact"/>
        <w:jc w:val="both"/>
        <w:textAlignment w:val="auto"/>
        <w:outlineLvl w:val="9"/>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资金使用合规、高效、透明。</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2.聚焦核心职能，细化目标管控。围绕办公厅办文、办会、办事、督查督办、信息化运维等核心职能，科学设定可量化、可考核的绩效目标，按季度划分阶段性任务，明确各节点工作要求和考核标准。定期对业务推进情况、绩效目标完成情况进行检查梳理，及时发现并整改推进中的问题，确保各项业务按计划落地，绩效目标有序达成。</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kern w:val="2"/>
          <w:lang w:val="en-US" w:eastAsia="zh-CN"/>
        </w:rPr>
      </w:pPr>
      <w:r>
        <w:rPr>
          <w:rFonts w:hint="eastAsia" w:ascii="Times New Roman" w:hAnsi="Times New Roman" w:eastAsia="仿宋_GB2312" w:cs="Times New Roman"/>
          <w:b w:val="0"/>
          <w:bCs w:val="0"/>
          <w:kern w:val="2"/>
          <w:lang w:val="en-US" w:eastAsia="zh-CN"/>
        </w:rPr>
        <w:t>3.</w:t>
      </w:r>
      <w:r>
        <w:rPr>
          <w:rFonts w:hint="default" w:ascii="Times New Roman" w:hAnsi="Times New Roman" w:eastAsia="仿宋_GB2312" w:cs="Times New Roman"/>
          <w:b w:val="0"/>
          <w:bCs w:val="0"/>
          <w:kern w:val="2"/>
          <w:lang w:val="en-US" w:eastAsia="zh-CN"/>
        </w:rPr>
        <w:t>健全管理制度，规范实施流程。结合项目特点和办公厅工作实际，完善公文处理、会议组织、督查督办、资金使用、信息化运维等一系列管理制度，明确工作标准和操作流程，实现项目实施全过程有章可循、有规可依。加强工作人员业务培训，提升业务能力和规范操作水平，推动项目实施标准化、精细化。</w:t>
      </w:r>
    </w:p>
    <w:p>
      <w:pPr>
        <w:keepNext/>
        <w:keepLines/>
        <w:numPr>
          <w:ilvl w:val="0"/>
          <w:numId w:val="5"/>
        </w:numPr>
        <w:spacing w:line="560" w:lineRule="exact"/>
        <w:ind w:firstLine="643" w:firstLineChars="200"/>
        <w:outlineLvl w:val="1"/>
        <w:rPr>
          <w:rFonts w:hint="default" w:ascii="Times New Roman" w:hAnsi="Times New Roman" w:eastAsia="楷体_GB2312" w:cs="Times New Roman"/>
          <w:b/>
          <w:bCs/>
          <w:sz w:val="32"/>
          <w:szCs w:val="32"/>
        </w:rPr>
      </w:pPr>
      <w:bookmarkStart w:id="62" w:name="_Toc7835"/>
      <w:r>
        <w:rPr>
          <w:rFonts w:hint="default" w:ascii="Times New Roman" w:hAnsi="Times New Roman" w:eastAsia="楷体_GB2312" w:cs="Times New Roman"/>
          <w:b/>
          <w:bCs/>
          <w:sz w:val="32"/>
          <w:szCs w:val="32"/>
        </w:rPr>
        <w:t>存在的问题及原因分析</w:t>
      </w:r>
      <w:bookmarkEnd w:id="62"/>
    </w:p>
    <w:p>
      <w:pPr>
        <w:keepNext w:val="0"/>
        <w:keepLines w:val="0"/>
        <w:pageBreakBefore w:val="0"/>
        <w:widowControl w:val="0"/>
        <w:shd w:val="clear"/>
        <w:kinsoku w:val="0"/>
        <w:wordWrap/>
        <w:overflowPunct w:val="0"/>
        <w:topLinePunct w:val="0"/>
        <w:autoSpaceDE/>
        <w:autoSpaceDN/>
        <w:bidi w:val="0"/>
        <w:adjustRightInd/>
        <w:snapToGrid/>
        <w:spacing w:line="60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outlineLvl w:val="0"/>
        <w:rPr>
          <w:rFonts w:hint="default" w:ascii="Times New Roman" w:hAnsi="Times New Roman" w:eastAsia="黑体" w:cs="Times New Roman"/>
          <w:sz w:val="32"/>
          <w:szCs w:val="32"/>
        </w:rPr>
      </w:pPr>
      <w:bookmarkStart w:id="63"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3"/>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1.多进行有关绩效管理工作方面的培训。积极组织开展绩效管理工作培训，进一步夯实业务基础，提高单位绩效人员水平。</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2.专门设定对绩效工作人员定职、定岗、定责等相关制度措施，进一步提升单位绩效管理工作业务水平，扎实做好绩效管理工作。</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w:t>
      </w:r>
      <w:bookmarkStart w:id="70" w:name="_GoBack"/>
      <w:r>
        <w:rPr>
          <w:rFonts w:hint="default" w:ascii="Times New Roman" w:hAnsi="Times New Roman" w:eastAsia="仿宋_GB2312" w:cs="Times New Roman"/>
          <w:sz w:val="32"/>
          <w:szCs w:val="32"/>
          <w:highlight w:val="none"/>
          <w:lang w:val="en-US" w:eastAsia="zh-CN"/>
        </w:rPr>
        <w:t>领导</w:t>
      </w:r>
      <w:bookmarkEnd w:id="70"/>
      <w:r>
        <w:rPr>
          <w:rFonts w:hint="default" w:ascii="Times New Roman" w:hAnsi="Times New Roman" w:eastAsia="仿宋_GB2312" w:cs="Times New Roman"/>
          <w:sz w:val="32"/>
          <w:szCs w:val="32"/>
          <w:highlight w:val="none"/>
          <w:lang w:val="en-US" w:eastAsia="zh-CN"/>
        </w:rPr>
        <w:t>，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560" w:lineRule="exact"/>
        <w:ind w:firstLine="640" w:firstLineChars="200"/>
        <w:outlineLvl w:val="0"/>
        <w:rPr>
          <w:rFonts w:hint="default" w:ascii="Times New Roman" w:hAnsi="Times New Roman" w:eastAsia="黑体" w:cs="Times New Roman"/>
          <w:sz w:val="32"/>
          <w:szCs w:val="32"/>
        </w:rPr>
      </w:pPr>
      <w:bookmarkStart w:id="64"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5" w:name="page8"/>
      <w:bookmarkEnd w:id="65"/>
      <w:r>
        <w:rPr>
          <w:rFonts w:hint="default" w:ascii="Times New Roman" w:hAnsi="Times New Roman" w:eastAsia="黑体" w:cs="Times New Roman"/>
          <w:sz w:val="32"/>
          <w:szCs w:val="32"/>
        </w:rPr>
        <w:t>明的问题</w:t>
      </w:r>
      <w:bookmarkEnd w:id="64"/>
    </w:p>
    <w:p>
      <w:pPr>
        <w:pStyle w:val="17"/>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Hans"/>
        </w:rPr>
        <w:t>本项目无其他需说明的问题。</w:t>
      </w:r>
    </w:p>
    <w:p>
      <w:pPr>
        <w:pStyle w:val="17"/>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pPr>
        <w:pStyle w:val="17"/>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pPr>
        <w:pStyle w:val="17"/>
        <w:spacing w:after="0" w:line="560" w:lineRule="exact"/>
        <w:ind w:left="0" w:leftChars="0" w:firstLine="0" w:firstLineChars="0"/>
        <w:rPr>
          <w:rFonts w:hint="eastAsia" w:ascii="Times New Roman" w:hAnsi="Times New Roman" w:eastAsia="仿宋_GB2312" w:cs="Times New Roman"/>
          <w:b/>
          <w:bCs/>
          <w:color w:val="FF0000"/>
          <w:sz w:val="32"/>
          <w:szCs w:val="32"/>
          <w:lang w:eastAsia="zh-CN"/>
        </w:rPr>
      </w:pPr>
    </w:p>
    <w:p>
      <w:pPr>
        <w:pStyle w:val="17"/>
        <w:spacing w:after="0" w:line="560" w:lineRule="exact"/>
        <w:rPr>
          <w:rFonts w:hint="eastAsia" w:ascii="Times New Roman" w:hAnsi="Times New Roman" w:eastAsia="仿宋_GB2312" w:cs="Times New Roman"/>
          <w:b/>
          <w:bCs/>
          <w:color w:val="FF0000"/>
          <w:sz w:val="32"/>
          <w:szCs w:val="32"/>
          <w:lang w:eastAsia="zh-CN"/>
        </w:rPr>
      </w:pPr>
    </w:p>
    <w:p>
      <w:pPr>
        <w:pStyle w:val="17"/>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outlineLvl w:val="0"/>
        <w:rPr>
          <w:rFonts w:hint="default" w:eastAsia="黑体" w:cs="Times New Roman"/>
          <w:sz w:val="32"/>
          <w:szCs w:val="32"/>
          <w:lang w:val="en-US" w:eastAsia="zh-CN"/>
        </w:rPr>
      </w:pPr>
      <w:bookmarkStart w:id="66"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6"/>
      <w:r>
        <w:rPr>
          <w:rFonts w:hint="eastAsia" w:eastAsia="黑体" w:cs="Times New Roman"/>
          <w:sz w:val="32"/>
          <w:szCs w:val="32"/>
          <w:lang w:val="en-US" w:eastAsia="zh-CN"/>
        </w:rPr>
        <w:t>评价指标体系</w:t>
      </w:r>
    </w:p>
    <w:p>
      <w:pPr>
        <w:pStyle w:val="23"/>
        <w:ind w:firstLine="562"/>
        <w:jc w:val="center"/>
        <w:rPr>
          <w:rFonts w:hint="eastAsia" w:ascii="仿宋_GB2312" w:hAnsi="仿宋_GB2312" w:eastAsia="仿宋_GB2312" w:cs="仿宋_GB2312"/>
          <w:sz w:val="28"/>
          <w:szCs w:val="40"/>
        </w:rPr>
      </w:pPr>
      <w:bookmarkStart w:id="67" w:name="_Toc30064_WPSOffice_Level1"/>
      <w:bookmarkStart w:id="68" w:name="_Toc26499_WPSOffice_Level2"/>
      <w:r>
        <w:rPr>
          <w:rFonts w:hint="eastAsia" w:ascii="仿宋_GB2312" w:hAnsi="仿宋_GB2312" w:eastAsia="仿宋_GB2312" w:cs="仿宋_GB2312"/>
          <w:b/>
          <w:bCs/>
          <w:sz w:val="28"/>
          <w:szCs w:val="40"/>
          <w:highlight w:val="none"/>
        </w:rPr>
        <w:t>各项业务工作管理经费项目</w:t>
      </w:r>
      <w:r>
        <w:rPr>
          <w:rFonts w:hint="eastAsia" w:ascii="仿宋_GB2312" w:hAnsi="仿宋_GB2312" w:eastAsia="仿宋_GB2312" w:cs="仿宋_GB2312"/>
          <w:b/>
          <w:bCs/>
          <w:sz w:val="28"/>
          <w:szCs w:val="40"/>
        </w:rPr>
        <w:t>绩效评价指标体系</w:t>
      </w:r>
      <w:bookmarkEnd w:id="67"/>
      <w:bookmarkEnd w:id="68"/>
    </w:p>
    <w:tbl>
      <w:tblPr>
        <w:tblStyle w:val="18"/>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997"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2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22"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22"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22"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22"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3.84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997"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997"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22"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22"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yellow"/>
                <w:lang w:val="en-US" w:eastAsia="zh-CN"/>
              </w:rPr>
            </w:pPr>
            <w:r>
              <w:rPr>
                <w:rFonts w:hint="eastAsia" w:eastAsia="仿宋_GB2312" w:cs="Times New Roman"/>
                <w:b/>
                <w:bCs/>
                <w:color w:val="000000"/>
                <w:kern w:val="0"/>
                <w:sz w:val="18"/>
                <w:szCs w:val="18"/>
                <w:highlight w:val="none"/>
                <w:lang w:val="en-US" w:eastAsia="zh-CN"/>
              </w:rPr>
              <w:t>99.84</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bidi="ar"/>
        </w:rPr>
      </w:pPr>
      <w:bookmarkStart w:id="69" w:name="_Toc17917"/>
      <w:r>
        <w:rPr>
          <w:rFonts w:hint="eastAsia" w:ascii="黑体" w:hAnsi="黑体" w:eastAsia="黑体" w:cs="黑体"/>
          <w:b/>
          <w:bCs/>
          <w:i w:val="0"/>
          <w:iCs w:val="0"/>
          <w:color w:val="000000"/>
          <w:kern w:val="0"/>
          <w:sz w:val="32"/>
          <w:szCs w:val="32"/>
          <w:u w:val="none"/>
          <w:lang w:val="en-US" w:eastAsia="zh-CN" w:bidi="ar"/>
        </w:rPr>
        <w:t>附件2</w:t>
      </w:r>
      <w:bookmarkEnd w:id="69"/>
      <w:r>
        <w:rPr>
          <w:rFonts w:hint="eastAsia" w:ascii="黑体" w:hAnsi="黑体" w:eastAsia="黑体" w:cs="黑体"/>
          <w:b/>
          <w:bCs/>
          <w:i w:val="0"/>
          <w:iCs w:val="0"/>
          <w:color w:val="000000"/>
          <w:kern w:val="0"/>
          <w:sz w:val="32"/>
          <w:szCs w:val="32"/>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（202</w:t>
      </w:r>
      <w:r>
        <w:rPr>
          <w:rFonts w:hint="eastAsia" w:eastAsia="仿宋_GB2312" w:cs="Times New Roman"/>
          <w:b/>
          <w:bCs/>
          <w:i w:val="0"/>
          <w:iCs w:val="0"/>
          <w:color w:val="000000"/>
          <w:kern w:val="0"/>
          <w:sz w:val="22"/>
          <w:szCs w:val="22"/>
          <w:u w:val="none"/>
          <w:lang w:val="en-US" w:eastAsia="zh-CN" w:bidi="ar"/>
        </w:rPr>
        <w:t>5</w:t>
      </w:r>
      <w:r>
        <w:rPr>
          <w:rFonts w:hint="default" w:ascii="Times New Roman" w:hAnsi="Times New Roman" w:eastAsia="仿宋_GB2312" w:cs="Times New Roman"/>
          <w:b/>
          <w:bCs/>
          <w:i w:val="0"/>
          <w:iCs w:val="0"/>
          <w:color w:val="000000"/>
          <w:kern w:val="0"/>
          <w:sz w:val="22"/>
          <w:szCs w:val="22"/>
          <w:u w:val="none"/>
          <w:lang w:val="en-US" w:eastAsia="zh-CN" w:bidi="ar"/>
        </w:rPr>
        <w:t>年度）</w:t>
      </w:r>
    </w:p>
    <w:tbl>
      <w:tblPr>
        <w:tblStyle w:val="18"/>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各项业务工作管理经费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新疆维吾尔自治区人民政府办公厅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新疆维吾尔自治区人民政府办公厅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3348.8</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3348.8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3212.16</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95.92%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3348.8</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3348.8</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3212.16</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95.92%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根据自治区财政厅规定“保重点、保基本、保民生、压一般”的原则，2025年政府办公厅“各项业务工作管理经费”项目主要用于开展“三办、三服务”等各项业务工作、补充办公经费不足、保障办公场所安全等。</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根据自治区财政厅规定“保重点、保基本、保民生、压一般”的原则，2025年政府办公厅</w:t>
            </w:r>
            <w:r>
              <w:rPr>
                <w:rFonts w:hint="eastAsia" w:ascii="仿宋_GB2312" w:hAnsi="仿宋_GB2312" w:eastAsia="仿宋_GB2312" w:cs="仿宋_GB2312"/>
                <w:i w:val="0"/>
                <w:iCs w:val="0"/>
                <w:color w:val="000000"/>
                <w:sz w:val="18"/>
                <w:szCs w:val="18"/>
                <w:u w:val="none"/>
                <w:lang w:val="en-US" w:eastAsia="zh-CN"/>
              </w:rPr>
              <w:t>通过实施</w:t>
            </w:r>
            <w:r>
              <w:rPr>
                <w:rFonts w:hint="eastAsia" w:ascii="仿宋_GB2312" w:hAnsi="仿宋_GB2312" w:eastAsia="仿宋_GB2312" w:cs="仿宋_GB2312"/>
                <w:i w:val="0"/>
                <w:iCs w:val="0"/>
                <w:color w:val="000000"/>
                <w:sz w:val="18"/>
                <w:szCs w:val="18"/>
                <w:u w:val="none"/>
              </w:rPr>
              <w:t>“各项业务工作管理经费”项目</w:t>
            </w:r>
            <w:r>
              <w:rPr>
                <w:rFonts w:hint="eastAsia" w:ascii="仿宋_GB2312" w:hAnsi="仿宋_GB2312" w:eastAsia="仿宋_GB2312" w:cs="仿宋_GB2312"/>
                <w:i w:val="0"/>
                <w:iCs w:val="0"/>
                <w:color w:val="000000"/>
                <w:sz w:val="18"/>
                <w:szCs w:val="18"/>
                <w:u w:val="none"/>
                <w:lang w:eastAsia="zh-CN"/>
              </w:rPr>
              <w:t>，</w:t>
            </w:r>
            <w:r>
              <w:rPr>
                <w:rFonts w:hint="eastAsia" w:ascii="仿宋_GB2312" w:hAnsi="仿宋_GB2312" w:eastAsia="仿宋_GB2312" w:cs="仿宋_GB2312"/>
                <w:i w:val="0"/>
                <w:iCs w:val="0"/>
                <w:color w:val="000000"/>
                <w:sz w:val="18"/>
                <w:szCs w:val="18"/>
                <w:u w:val="none"/>
              </w:rPr>
              <w:t>开展“三办、三服务”等各项业务工作、补充办公经费不足、保障办公场所安全等。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办公场所日常零星维修保障面积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=32200平方米</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32200平方米</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32200平方米</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开展专题活动次数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=5次</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5次</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5次</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信息化运维服务数量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=6项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7项</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6项</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业务专项工作数量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=12项</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8项</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12项</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政府公报印刷册数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rPr>
              <w:t>12册</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6期</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12册</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日常维修验收合格率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rPr>
              <w:t>98%</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98%</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政府公报印刷校验合格率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系统故障率（%）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w:t>
            </w:r>
            <w:r>
              <w:rPr>
                <w:rFonts w:hint="eastAsia" w:ascii="仿宋_GB2312" w:hAnsi="仿宋_GB2312" w:eastAsia="仿宋_GB2312" w:cs="仿宋_GB2312"/>
                <w:i w:val="0"/>
                <w:iCs w:val="0"/>
                <w:color w:val="000000"/>
                <w:sz w:val="18"/>
                <w:szCs w:val="18"/>
                <w:u w:val="none"/>
              </w:rPr>
              <w:t>3%</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说明材料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3%</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专题活动开展及时率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lang w:val="en-US" w:eastAsia="zh-CN"/>
              </w:rPr>
              <w:t>≤4小时</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4小时</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4小时</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312" w:type="dxa"/>
            <w:vMerge w:val="continue"/>
            <w:tcBorders>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信息化运维修复处理时间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保障各类自治区级专题会议正常运转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有效保障</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有效保障</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按评判等级赋分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有效保障</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b/>
                <w:bCs/>
                <w:i w:val="0"/>
                <w:iCs w:val="0"/>
                <w:color w:val="000000"/>
                <w:sz w:val="18"/>
                <w:szCs w:val="18"/>
                <w:u w:val="none"/>
                <w:lang w:val="en-US" w:eastAsia="zh-CN"/>
              </w:rPr>
              <w:t>90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9E6F4825-189F-4DD8-90A0-1911438F33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4C0EE86-4097-4AD7-A785-AF1E3664EF9C}"/>
  </w:font>
  <w:font w:name="华文中宋">
    <w:panose1 w:val="02010600040101010101"/>
    <w:charset w:val="86"/>
    <w:family w:val="auto"/>
    <w:pitch w:val="default"/>
    <w:sig w:usb0="00000000" w:usb1="00000000" w:usb2="00000000" w:usb3="00000000" w:csb0="00000000" w:csb1="00000000"/>
    <w:embedRegular r:id="rId3" w:fontKey="{87E2C3DB-E23E-4AED-AD0C-BD5E4CD6A4CD}"/>
  </w:font>
  <w:font w:name="方正小标宋_GBK">
    <w:panose1 w:val="03000509000000000000"/>
    <w:charset w:val="86"/>
    <w:family w:val="script"/>
    <w:pitch w:val="default"/>
    <w:sig w:usb0="00000001" w:usb1="080E0000" w:usb2="00000000" w:usb3="00000000" w:csb0="00040000" w:csb1="00000000"/>
    <w:embedRegular r:id="rId4" w:fontKey="{05C6E1B3-64E2-4221-87F9-F251BC456B9C}"/>
  </w:font>
  <w:font w:name="楷体_GB2312">
    <w:panose1 w:val="02010609030101010101"/>
    <w:charset w:val="86"/>
    <w:family w:val="auto"/>
    <w:pitch w:val="default"/>
    <w:sig w:usb0="00000001" w:usb1="080E0000" w:usb2="00000000" w:usb3="00000000" w:csb0="00040000" w:csb1="00000000"/>
    <w:embedRegular r:id="rId5" w:fontKey="{32A3680B-C2E8-4509-A50F-EFF0D3F17D2F}"/>
  </w:font>
  <w:font w:name="方正仿宋_GBK">
    <w:panose1 w:val="03000509000000000000"/>
    <w:charset w:val="86"/>
    <w:family w:val="auto"/>
    <w:pitch w:val="default"/>
    <w:sig w:usb0="00000001" w:usb1="080E0000" w:usb2="00000000" w:usb3="00000000" w:csb0="00040000" w:csb1="00000000"/>
    <w:embedRegular r:id="rId6" w:fontKey="{A60441B1-873D-404D-B571-B6398236ECA5}"/>
  </w:font>
  <w:font w:name="楷体">
    <w:panose1 w:val="02010609060101010101"/>
    <w:charset w:val="86"/>
    <w:family w:val="modern"/>
    <w:pitch w:val="default"/>
    <w:sig w:usb0="800002BF" w:usb1="38CF7CFA" w:usb2="00000016" w:usb3="00000000" w:csb0="00040001" w:csb1="00000000"/>
    <w:embedRegular r:id="rId7" w:fontKey="{32C59080-5D18-4A05-A6D1-801DC28467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03787F"/>
    <w:rsid w:val="006F7242"/>
    <w:rsid w:val="007B168A"/>
    <w:rsid w:val="008B2CFE"/>
    <w:rsid w:val="00D14946"/>
    <w:rsid w:val="00F26FF6"/>
    <w:rsid w:val="011E0236"/>
    <w:rsid w:val="01610122"/>
    <w:rsid w:val="01B80F22"/>
    <w:rsid w:val="02510197"/>
    <w:rsid w:val="02EB05EB"/>
    <w:rsid w:val="030F6088"/>
    <w:rsid w:val="036D1000"/>
    <w:rsid w:val="03E71721"/>
    <w:rsid w:val="03EC461B"/>
    <w:rsid w:val="04820ADC"/>
    <w:rsid w:val="04FC7963"/>
    <w:rsid w:val="05645FB8"/>
    <w:rsid w:val="057E12A3"/>
    <w:rsid w:val="064C13A1"/>
    <w:rsid w:val="07397B77"/>
    <w:rsid w:val="07EB626D"/>
    <w:rsid w:val="084E1401"/>
    <w:rsid w:val="0AD007F3"/>
    <w:rsid w:val="0AD32091"/>
    <w:rsid w:val="0AFC15E8"/>
    <w:rsid w:val="0B0E7513"/>
    <w:rsid w:val="0B3F14D4"/>
    <w:rsid w:val="0BAB6B6A"/>
    <w:rsid w:val="0C061FF2"/>
    <w:rsid w:val="0CE42333"/>
    <w:rsid w:val="0D810B03"/>
    <w:rsid w:val="0DE46363"/>
    <w:rsid w:val="0E3C619F"/>
    <w:rsid w:val="0E6801EC"/>
    <w:rsid w:val="0EFE4AC2"/>
    <w:rsid w:val="0F6F3B45"/>
    <w:rsid w:val="11170296"/>
    <w:rsid w:val="11B60016"/>
    <w:rsid w:val="12B24C82"/>
    <w:rsid w:val="13471461"/>
    <w:rsid w:val="13B90F01"/>
    <w:rsid w:val="141E2B33"/>
    <w:rsid w:val="155E4C4D"/>
    <w:rsid w:val="15A15C63"/>
    <w:rsid w:val="16290DB7"/>
    <w:rsid w:val="164D0F49"/>
    <w:rsid w:val="16D276A1"/>
    <w:rsid w:val="16E318AE"/>
    <w:rsid w:val="17462648"/>
    <w:rsid w:val="181066D2"/>
    <w:rsid w:val="18177FE3"/>
    <w:rsid w:val="199944A6"/>
    <w:rsid w:val="199B6470"/>
    <w:rsid w:val="19AD23A6"/>
    <w:rsid w:val="1A2B4F63"/>
    <w:rsid w:val="1A564145"/>
    <w:rsid w:val="1AD938CB"/>
    <w:rsid w:val="1AE2543D"/>
    <w:rsid w:val="1C671E73"/>
    <w:rsid w:val="1D1125A5"/>
    <w:rsid w:val="1D322C47"/>
    <w:rsid w:val="1E6E5F01"/>
    <w:rsid w:val="1E934856"/>
    <w:rsid w:val="1F1840BF"/>
    <w:rsid w:val="1F240CB5"/>
    <w:rsid w:val="20C067BC"/>
    <w:rsid w:val="23111551"/>
    <w:rsid w:val="23616034"/>
    <w:rsid w:val="23D4607E"/>
    <w:rsid w:val="241E5A50"/>
    <w:rsid w:val="24264886"/>
    <w:rsid w:val="24480FA2"/>
    <w:rsid w:val="246663D3"/>
    <w:rsid w:val="25227A45"/>
    <w:rsid w:val="264439EB"/>
    <w:rsid w:val="26AC3A6A"/>
    <w:rsid w:val="26B26BA7"/>
    <w:rsid w:val="27C923FA"/>
    <w:rsid w:val="281178FD"/>
    <w:rsid w:val="294855A0"/>
    <w:rsid w:val="29D84B76"/>
    <w:rsid w:val="2ADA0E92"/>
    <w:rsid w:val="2AEA2DB3"/>
    <w:rsid w:val="2B9D7E25"/>
    <w:rsid w:val="2BE45A54"/>
    <w:rsid w:val="2C212804"/>
    <w:rsid w:val="2C7C7A3B"/>
    <w:rsid w:val="2C923702"/>
    <w:rsid w:val="2D1453AD"/>
    <w:rsid w:val="2E20089A"/>
    <w:rsid w:val="2E861EE7"/>
    <w:rsid w:val="2EFC0D68"/>
    <w:rsid w:val="2F364819"/>
    <w:rsid w:val="2F4F7689"/>
    <w:rsid w:val="2FD63906"/>
    <w:rsid w:val="31570A76"/>
    <w:rsid w:val="316D029A"/>
    <w:rsid w:val="339B5FEF"/>
    <w:rsid w:val="346C4839"/>
    <w:rsid w:val="348002E4"/>
    <w:rsid w:val="35146474"/>
    <w:rsid w:val="36DE12F2"/>
    <w:rsid w:val="37215DAE"/>
    <w:rsid w:val="37F87CF5"/>
    <w:rsid w:val="38CA40DD"/>
    <w:rsid w:val="395104A1"/>
    <w:rsid w:val="395F2B56"/>
    <w:rsid w:val="3B5D312D"/>
    <w:rsid w:val="3BBA0580"/>
    <w:rsid w:val="3BECE841"/>
    <w:rsid w:val="3C706E90"/>
    <w:rsid w:val="3CDE204C"/>
    <w:rsid w:val="3D363C36"/>
    <w:rsid w:val="3E636CAD"/>
    <w:rsid w:val="3E720C9E"/>
    <w:rsid w:val="3E9C3F6D"/>
    <w:rsid w:val="3FB11C9A"/>
    <w:rsid w:val="3FF7797D"/>
    <w:rsid w:val="3FFF479F"/>
    <w:rsid w:val="401D10DD"/>
    <w:rsid w:val="40DC2D46"/>
    <w:rsid w:val="41AF2209"/>
    <w:rsid w:val="424B1F31"/>
    <w:rsid w:val="431A7B56"/>
    <w:rsid w:val="43547FC2"/>
    <w:rsid w:val="43601655"/>
    <w:rsid w:val="458B6AE9"/>
    <w:rsid w:val="45E15804"/>
    <w:rsid w:val="45EA5AF3"/>
    <w:rsid w:val="464B69A4"/>
    <w:rsid w:val="46690BD8"/>
    <w:rsid w:val="46953E87"/>
    <w:rsid w:val="47132FF3"/>
    <w:rsid w:val="47501D98"/>
    <w:rsid w:val="47BB35B6"/>
    <w:rsid w:val="47D26417"/>
    <w:rsid w:val="47DB5B06"/>
    <w:rsid w:val="48D013E2"/>
    <w:rsid w:val="49C10D2B"/>
    <w:rsid w:val="49F70BF1"/>
    <w:rsid w:val="4B4340EE"/>
    <w:rsid w:val="4BF06537"/>
    <w:rsid w:val="4D9E1AAF"/>
    <w:rsid w:val="4F336227"/>
    <w:rsid w:val="503D507A"/>
    <w:rsid w:val="504B57F2"/>
    <w:rsid w:val="505E1082"/>
    <w:rsid w:val="51FA74D0"/>
    <w:rsid w:val="528A5B24"/>
    <w:rsid w:val="52AA4A52"/>
    <w:rsid w:val="54E56216"/>
    <w:rsid w:val="550F5041"/>
    <w:rsid w:val="55545149"/>
    <w:rsid w:val="56277B56"/>
    <w:rsid w:val="574A40F1"/>
    <w:rsid w:val="57D91936"/>
    <w:rsid w:val="589C4E3D"/>
    <w:rsid w:val="59943D66"/>
    <w:rsid w:val="59E051FD"/>
    <w:rsid w:val="59E6355E"/>
    <w:rsid w:val="59F974AC"/>
    <w:rsid w:val="5A184997"/>
    <w:rsid w:val="5A3F7C21"/>
    <w:rsid w:val="5B821531"/>
    <w:rsid w:val="5BFF6039"/>
    <w:rsid w:val="5C476399"/>
    <w:rsid w:val="5D76A616"/>
    <w:rsid w:val="5D7F20B9"/>
    <w:rsid w:val="5DAC7D0E"/>
    <w:rsid w:val="5DF254FF"/>
    <w:rsid w:val="5E4F2952"/>
    <w:rsid w:val="5F5F2F0C"/>
    <w:rsid w:val="5F98B5AF"/>
    <w:rsid w:val="5FFE8511"/>
    <w:rsid w:val="5FFEACE2"/>
    <w:rsid w:val="609D5BF6"/>
    <w:rsid w:val="60E455D3"/>
    <w:rsid w:val="61073070"/>
    <w:rsid w:val="61113EEE"/>
    <w:rsid w:val="61B9080E"/>
    <w:rsid w:val="61C16EA4"/>
    <w:rsid w:val="61DF3FED"/>
    <w:rsid w:val="62A212A2"/>
    <w:rsid w:val="62AA63A9"/>
    <w:rsid w:val="63953170"/>
    <w:rsid w:val="63D95197"/>
    <w:rsid w:val="642B176B"/>
    <w:rsid w:val="64375BC2"/>
    <w:rsid w:val="643EE26D"/>
    <w:rsid w:val="650224CC"/>
    <w:rsid w:val="656019A0"/>
    <w:rsid w:val="65F242EE"/>
    <w:rsid w:val="666D7E19"/>
    <w:rsid w:val="66C51A03"/>
    <w:rsid w:val="670A38BA"/>
    <w:rsid w:val="68376930"/>
    <w:rsid w:val="683F3494"/>
    <w:rsid w:val="68F91E38"/>
    <w:rsid w:val="69767E03"/>
    <w:rsid w:val="6A99742E"/>
    <w:rsid w:val="6B3158B9"/>
    <w:rsid w:val="6BA02A3F"/>
    <w:rsid w:val="6C1E5A53"/>
    <w:rsid w:val="6C7F76DF"/>
    <w:rsid w:val="6DD20F3C"/>
    <w:rsid w:val="6EEE5F34"/>
    <w:rsid w:val="6F5C41AC"/>
    <w:rsid w:val="6FAF6C78"/>
    <w:rsid w:val="6FD66A2F"/>
    <w:rsid w:val="701B08E6"/>
    <w:rsid w:val="707A7747"/>
    <w:rsid w:val="716167CC"/>
    <w:rsid w:val="718A7AD1"/>
    <w:rsid w:val="72A44BC2"/>
    <w:rsid w:val="72F67375"/>
    <w:rsid w:val="7317C656"/>
    <w:rsid w:val="734ED73F"/>
    <w:rsid w:val="73C82B32"/>
    <w:rsid w:val="73F94DAE"/>
    <w:rsid w:val="74220495"/>
    <w:rsid w:val="747D1B6F"/>
    <w:rsid w:val="749E5641"/>
    <w:rsid w:val="756B19C7"/>
    <w:rsid w:val="758B206A"/>
    <w:rsid w:val="75B710B1"/>
    <w:rsid w:val="76271066"/>
    <w:rsid w:val="763B3A90"/>
    <w:rsid w:val="7755292F"/>
    <w:rsid w:val="77FD8BE9"/>
    <w:rsid w:val="78000AED"/>
    <w:rsid w:val="78DD2BDC"/>
    <w:rsid w:val="78FE2B52"/>
    <w:rsid w:val="79055C6B"/>
    <w:rsid w:val="79152825"/>
    <w:rsid w:val="79A9BD3F"/>
    <w:rsid w:val="7B346CFF"/>
    <w:rsid w:val="7B776F12"/>
    <w:rsid w:val="7BBD6CF5"/>
    <w:rsid w:val="7BC40083"/>
    <w:rsid w:val="7BFFFDD0"/>
    <w:rsid w:val="7C091F3A"/>
    <w:rsid w:val="7C336E5F"/>
    <w:rsid w:val="7C466CEA"/>
    <w:rsid w:val="7C6B49A3"/>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6"/>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toc 3"/>
    <w:basedOn w:val="1"/>
    <w:next w:val="1"/>
    <w:qFormat/>
    <w:uiPriority w:val="0"/>
    <w:pPr>
      <w:ind w:left="840" w:leftChars="400"/>
    </w:pPr>
  </w:style>
  <w:style w:type="paragraph" w:styleId="7">
    <w:name w:val="Balloon Text"/>
    <w:basedOn w:val="1"/>
    <w:link w:val="24"/>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1">
    <w:name w:val="toc 4"/>
    <w:basedOn w:val="1"/>
    <w:next w:val="1"/>
    <w:qFormat/>
    <w:uiPriority w:val="0"/>
    <w:pPr>
      <w:ind w:left="1260" w:leftChars="600"/>
    </w:p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annotation subject"/>
    <w:basedOn w:val="3"/>
    <w:next w:val="3"/>
    <w:link w:val="27"/>
    <w:qFormat/>
    <w:uiPriority w:val="0"/>
    <w:rPr>
      <w:b/>
      <w:bCs/>
    </w:rPr>
  </w:style>
  <w:style w:type="paragraph" w:styleId="16">
    <w:name w:val="Body Text First Indent"/>
    <w:basedOn w:val="4"/>
    <w:qFormat/>
    <w:uiPriority w:val="0"/>
    <w:pPr>
      <w:spacing w:after="0"/>
      <w:ind w:firstLine="200" w:firstLineChars="200"/>
    </w:pPr>
  </w:style>
  <w:style w:type="paragraph" w:styleId="17">
    <w:name w:val="Body Text First Indent 2"/>
    <w:basedOn w:val="5"/>
    <w:qFormat/>
    <w:uiPriority w:val="0"/>
    <w:pPr>
      <w:ind w:firstLine="420" w:firstLineChars="200"/>
    </w:pPr>
  </w:style>
  <w:style w:type="character" w:styleId="20">
    <w:name w:val="Strong"/>
    <w:basedOn w:val="19"/>
    <w:qFormat/>
    <w:uiPriority w:val="0"/>
    <w:rPr>
      <w:b/>
      <w:bCs/>
    </w:rPr>
  </w:style>
  <w:style w:type="character" w:styleId="21">
    <w:name w:val="annotation reference"/>
    <w:basedOn w:val="19"/>
    <w:qFormat/>
    <w:uiPriority w:val="0"/>
    <w:rPr>
      <w:sz w:val="21"/>
      <w:szCs w:val="21"/>
    </w:rPr>
  </w:style>
  <w:style w:type="character" w:customStyle="1" w:styleId="22">
    <w:name w:val="fontstyle01"/>
    <w:qFormat/>
    <w:uiPriority w:val="0"/>
    <w:rPr>
      <w:rFonts w:ascii="仿宋_GB2312" w:hAnsi="仿宋_GB2312" w:eastAsia="仿宋_GB2312" w:cs="仿宋_GB2312"/>
      <w:color w:val="000000"/>
      <w:sz w:val="32"/>
      <w:szCs w:val="32"/>
    </w:rPr>
  </w:style>
  <w:style w:type="paragraph" w:customStyle="1" w:styleId="23">
    <w:name w:val="闻政-正文段落文字"/>
    <w:basedOn w:val="1"/>
    <w:qFormat/>
    <w:uiPriority w:val="3"/>
    <w:pPr>
      <w:spacing w:line="500" w:lineRule="exact"/>
      <w:ind w:firstLine="200"/>
    </w:pPr>
    <w:rPr>
      <w:kern w:val="0"/>
      <w:szCs w:val="28"/>
    </w:rPr>
  </w:style>
  <w:style w:type="character" w:customStyle="1" w:styleId="24">
    <w:name w:val="批注框文本 字符"/>
    <w:basedOn w:val="19"/>
    <w:link w:val="7"/>
    <w:qFormat/>
    <w:uiPriority w:val="0"/>
    <w:rPr>
      <w:rFonts w:ascii="Times New Roman" w:hAnsi="Times New Roman" w:eastAsia="宋体" w:cs="Times New Roman"/>
      <w:kern w:val="2"/>
      <w:sz w:val="18"/>
      <w:szCs w:val="18"/>
    </w:rPr>
  </w:style>
  <w:style w:type="character" w:customStyle="1" w:styleId="25">
    <w:name w:val="页眉 字符"/>
    <w:basedOn w:val="19"/>
    <w:link w:val="9"/>
    <w:qFormat/>
    <w:uiPriority w:val="0"/>
    <w:rPr>
      <w:rFonts w:ascii="Times New Roman" w:hAnsi="Times New Roman" w:eastAsia="宋体" w:cs="Times New Roman"/>
      <w:kern w:val="2"/>
      <w:sz w:val="18"/>
      <w:szCs w:val="18"/>
    </w:rPr>
  </w:style>
  <w:style w:type="character" w:customStyle="1" w:styleId="26">
    <w:name w:val="批注文字 字符"/>
    <w:basedOn w:val="19"/>
    <w:link w:val="3"/>
    <w:qFormat/>
    <w:uiPriority w:val="0"/>
    <w:rPr>
      <w:rFonts w:ascii="Times New Roman" w:hAnsi="Times New Roman" w:eastAsia="宋体" w:cs="Times New Roman"/>
      <w:kern w:val="2"/>
      <w:sz w:val="21"/>
      <w:szCs w:val="24"/>
    </w:rPr>
  </w:style>
  <w:style w:type="character" w:customStyle="1" w:styleId="27">
    <w:name w:val="批注主题 字符"/>
    <w:basedOn w:val="26"/>
    <w:link w:val="15"/>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31</Pages>
  <Words>10165</Words>
  <Characters>10555</Characters>
  <Lines>58</Lines>
  <Paragraphs>16</Paragraphs>
  <TotalTime>75</TotalTime>
  <ScaleCrop>false</ScaleCrop>
  <LinksUpToDate>false</LinksUpToDate>
  <CharactersWithSpaces>10626</CharactersWithSpaces>
  <Application>WPS Office_11.1.0.8799_F1E327BC-269C-435d-A152-05C5408002CA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2026-08-26T12:05:31Z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y fmtid="{D5CDD505-2E9C-101B-9397-08002B2CF9AE}" pid="3" name="ICV">
    <vt:lpwstr>6F39F3DA222C4C76AC54095AD32F8EB7_13</vt:lpwstr>
  </property>
  <property fmtid="{D5CDD505-2E9C-101B-9397-08002B2CF9AE}" pid="4" name="KSOTemplateDocerSaveRecord">
    <vt:lpwstr>eyJoZGlkIjoiM2FiZDIzMjBhYjY3YjcwYmIxYWI1NjM4YzVmYjEyMDMiLCJ1c2VySWQiOiI5ODA4OTYxODgifQ==</vt:lpwstr>
  </property>
</Properties>
</file>