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宋体" w:eastAsia="宋体"/>
          <w:sz w:val="32"/>
          <w:szCs w:val="32"/>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rPr>
          <w:rFonts w:ascii="宋体" w:eastAsia="宋体"/>
          <w:sz w:val="44"/>
          <w:szCs w:val="44"/>
        </w:rPr>
      </w:pPr>
    </w:p>
    <w:p>
      <w:pPr>
        <w:spacing w:after="0" w:line="560" w:lineRule="exact"/>
        <w:jc w:val="center"/>
        <w:outlineLvl w:val="0"/>
        <w:rPr>
          <w:rFonts w:ascii="方正大标宋简体" w:eastAsia="方正大标宋简体"/>
          <w:sz w:val="44"/>
          <w:szCs w:val="44"/>
          <w:lang w:eastAsia="zh-CN"/>
        </w:rPr>
      </w:pPr>
      <w:r>
        <w:rPr>
          <w:rFonts w:hint="eastAsia" w:ascii="方正大标宋简体" w:eastAsia="方正大标宋简体"/>
          <w:sz w:val="44"/>
          <w:szCs w:val="44"/>
          <w:lang w:eastAsia="zh-CN"/>
        </w:rPr>
        <w:t>新疆维吾尔自治区人民政府驻北京办事处</w:t>
      </w:r>
    </w:p>
    <w:p>
      <w:pPr>
        <w:spacing w:after="0" w:line="560" w:lineRule="exact"/>
        <w:jc w:val="center"/>
        <w:outlineLvl w:val="0"/>
        <w:rPr>
          <w:rFonts w:ascii="方正大标宋简体" w:eastAsia="方正大标宋简体"/>
          <w:sz w:val="44"/>
          <w:szCs w:val="44"/>
          <w:lang w:eastAsia="zh-CN"/>
        </w:rPr>
      </w:pPr>
      <w:r>
        <w:rPr>
          <w:rFonts w:ascii="Times New Roman" w:hAnsi="Times New Roman" w:eastAsia="方正大标宋简体" w:cs="Times New Roman"/>
          <w:sz w:val="44"/>
          <w:szCs w:val="44"/>
          <w:lang w:eastAsia="zh-CN"/>
        </w:rPr>
        <w:t>2025</w:t>
      </w:r>
      <w:r>
        <w:rPr>
          <w:rFonts w:hint="eastAsia" w:ascii="方正大标宋简体" w:eastAsia="方正大标宋简体"/>
          <w:sz w:val="44"/>
          <w:szCs w:val="44"/>
          <w:lang w:eastAsia="zh-CN"/>
        </w:rPr>
        <w:t>年度部门决算公开说明</w:t>
      </w:r>
    </w:p>
    <w:p>
      <w:pPr>
        <w:rPr>
          <w:lang w:eastAsia="zh-CN"/>
        </w:rPr>
      </w:pPr>
      <w:r>
        <w:rPr>
          <w:sz w:val="0"/>
          <w:szCs w:val="0"/>
          <w:lang w:eastAsia="zh-CN"/>
        </w:rPr>
        <w:br w:type="page"/>
      </w:r>
    </w:p>
    <w:p>
      <w:pPr>
        <w:spacing w:line="240" w:lineRule="auto"/>
        <w:jc w:val="center"/>
        <w:rPr>
          <w:rFonts w:ascii="黑体" w:eastAsia="黑体"/>
          <w:sz w:val="32"/>
          <w:szCs w:val="32"/>
          <w:lang w:eastAsia="zh-CN"/>
        </w:rPr>
      </w:pPr>
      <w:r>
        <w:rPr>
          <w:rFonts w:ascii="黑体" w:eastAsia="黑体"/>
          <w:b/>
          <w:sz w:val="32"/>
          <w:szCs w:val="32"/>
          <w:lang w:eastAsia="zh-CN"/>
        </w:rPr>
        <w:t>目 录</w:t>
      </w:r>
    </w:p>
    <w:p>
      <w:pPr>
        <w:spacing w:line="240" w:lineRule="auto"/>
        <w:rPr>
          <w:rFonts w:ascii="黑体" w:hAnsi="黑体" w:eastAsia="黑体"/>
          <w:sz w:val="32"/>
          <w:szCs w:val="32"/>
          <w:lang w:eastAsia="zh-CN"/>
        </w:rPr>
      </w:pPr>
      <w:r>
        <w:rPr>
          <w:rFonts w:ascii="黑体" w:hAnsi="黑体" w:eastAsia="黑体"/>
          <w:sz w:val="32"/>
          <w:szCs w:val="32"/>
          <w:lang w:eastAsia="zh-CN"/>
        </w:rPr>
        <w:t>第一部分单位概况</w:t>
      </w:r>
    </w:p>
    <w:p>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pPr>
        <w:spacing w:line="240" w:lineRule="auto"/>
        <w:rPr>
          <w:rFonts w:ascii="仿宋_GB2312" w:eastAsia="仿宋_GB2312"/>
          <w:sz w:val="32"/>
          <w:szCs w:val="32"/>
          <w:lang w:eastAsia="zh-CN"/>
        </w:rPr>
      </w:pPr>
      <w:r>
        <w:rPr>
          <w:rFonts w:ascii="仿宋_GB2312" w:eastAsia="仿宋_GB2312"/>
          <w:sz w:val="32"/>
          <w:szCs w:val="32"/>
          <w:lang w:eastAsia="zh-CN"/>
        </w:rPr>
        <w:t>二、机构设置</w:t>
      </w:r>
    </w:p>
    <w:p>
      <w:pPr>
        <w:spacing w:line="240" w:lineRule="auto"/>
        <w:rPr>
          <w:rFonts w:ascii="黑体" w:hAnsi="黑体" w:eastAsia="黑体"/>
          <w:sz w:val="32"/>
          <w:szCs w:val="32"/>
          <w:lang w:eastAsia="zh-CN"/>
        </w:rPr>
      </w:pPr>
      <w:r>
        <w:rPr>
          <w:rFonts w:ascii="黑体" w:hAnsi="黑体" w:eastAsia="黑体"/>
          <w:sz w:val="32"/>
          <w:szCs w:val="32"/>
          <w:lang w:eastAsia="zh-CN"/>
        </w:rPr>
        <w:t>第二部分 部门决算情况说明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pPr>
        <w:spacing w:line="240" w:lineRule="auto"/>
        <w:rPr>
          <w:rFonts w:ascii="黑体" w:hAnsi="黑体" w:eastAsia="黑体"/>
          <w:sz w:val="32"/>
          <w:szCs w:val="32"/>
          <w:lang w:eastAsia="zh-CN"/>
        </w:rPr>
      </w:pPr>
      <w:r>
        <w:rPr>
          <w:rFonts w:ascii="黑体" w:hAnsi="黑体" w:eastAsia="黑体"/>
          <w:sz w:val="32"/>
          <w:szCs w:val="32"/>
          <w:lang w:eastAsia="zh-CN"/>
        </w:rPr>
        <w:t>第三部分 专业名词解释</w:t>
      </w:r>
    </w:p>
    <w:p>
      <w:pPr>
        <w:spacing w:line="240" w:lineRule="auto"/>
        <w:rPr>
          <w:rFonts w:ascii="黑体" w:hAnsi="黑体" w:eastAsia="黑体"/>
          <w:sz w:val="32"/>
          <w:szCs w:val="32"/>
          <w:lang w:eastAsia="zh-CN"/>
        </w:rPr>
      </w:pPr>
      <w:r>
        <w:rPr>
          <w:rFonts w:ascii="黑体" w:hAnsi="黑体" w:eastAsia="黑体"/>
          <w:sz w:val="32"/>
          <w:szCs w:val="32"/>
          <w:lang w:eastAsia="zh-CN"/>
        </w:rPr>
        <w:t>第四部分 部门决算报表（见附表）</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rPr>
          <w:lang w:eastAsia="zh-CN"/>
        </w:rPr>
      </w:pPr>
      <w:r>
        <w:rPr>
          <w:sz w:val="0"/>
          <w:szCs w:val="0"/>
          <w:lang w:eastAsia="zh-CN"/>
        </w:rPr>
        <w:br w:type="page"/>
      </w:r>
    </w:p>
    <w:p>
      <w:pPr>
        <w:spacing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pPr>
        <w:spacing w:after="0" w:line="560" w:lineRule="exact"/>
        <w:ind w:firstLine="640" w:firstLineChars="200"/>
        <w:jc w:val="both"/>
        <w:rPr>
          <w:rFonts w:ascii="黑体" w:eastAsia="黑体"/>
          <w:sz w:val="32"/>
          <w:szCs w:val="32"/>
          <w:lang w:eastAsia="zh-CN"/>
        </w:rPr>
      </w:pPr>
      <w:r>
        <w:rPr>
          <w:rFonts w:ascii="黑体" w:eastAsia="黑体"/>
          <w:sz w:val="32"/>
          <w:szCs w:val="32"/>
          <w:lang w:eastAsia="zh-CN"/>
        </w:rPr>
        <w:t>一、主要职能</w:t>
      </w:r>
    </w:p>
    <w:p>
      <w:pPr>
        <w:spacing w:after="0" w:line="560" w:lineRule="exact"/>
        <w:ind w:firstLine="640" w:firstLineChars="200"/>
        <w:jc w:val="both"/>
        <w:rPr>
          <w:rFonts w:ascii="仿宋_GB2312" w:hAnsi="仿宋" w:eastAsia="仿宋_GB2312"/>
          <w:sz w:val="32"/>
          <w:szCs w:val="32"/>
          <w:lang w:eastAsia="zh-CN"/>
        </w:rPr>
      </w:pPr>
      <w:r>
        <w:rPr>
          <w:rFonts w:hint="eastAsia" w:ascii="仿宋_GB2312" w:hAnsi="仿宋" w:eastAsia="仿宋_GB2312"/>
          <w:sz w:val="32"/>
          <w:szCs w:val="32"/>
          <w:lang w:eastAsia="zh-CN"/>
        </w:rPr>
        <w:t>单位职能不予公开</w:t>
      </w:r>
    </w:p>
    <w:p>
      <w:pPr>
        <w:spacing w:after="0" w:line="560" w:lineRule="exact"/>
        <w:ind w:firstLine="640" w:firstLineChars="200"/>
        <w:jc w:val="both"/>
        <w:rPr>
          <w:rFonts w:ascii="黑体" w:eastAsia="黑体"/>
          <w:sz w:val="32"/>
          <w:szCs w:val="32"/>
          <w:lang w:eastAsia="zh-CN"/>
        </w:rPr>
      </w:pPr>
      <w:r>
        <w:rPr>
          <w:rFonts w:ascii="黑体" w:eastAsia="黑体"/>
          <w:sz w:val="32"/>
          <w:szCs w:val="32"/>
          <w:lang w:eastAsia="zh-CN"/>
        </w:rPr>
        <w:t>二、机构设置</w:t>
      </w:r>
    </w:p>
    <w:p>
      <w:pPr>
        <w:pStyle w:val="25"/>
        <w:spacing w:line="560" w:lineRule="exact"/>
        <w:ind w:firstLine="640"/>
        <w:rPr>
          <w:rFonts w:ascii="仿宋_GB2312" w:hAnsi="仿宋" w:eastAsia="仿宋_GB2312"/>
          <w:sz w:val="32"/>
          <w:szCs w:val="32"/>
        </w:rPr>
      </w:pPr>
      <w:r>
        <w:rPr>
          <w:rFonts w:hint="eastAsia" w:ascii="仿宋_GB2312" w:eastAsia="仿宋_GB2312"/>
          <w:sz w:val="32"/>
          <w:szCs w:val="32"/>
        </w:rPr>
        <w:t>单位机构设置和人员情况不予公开</w:t>
      </w:r>
    </w:p>
    <w:p>
      <w:pPr>
        <w:spacing w:line="240" w:lineRule="auto"/>
        <w:ind w:firstLine="640" w:firstLineChars="200"/>
        <w:jc w:val="both"/>
        <w:rPr>
          <w:rFonts w:ascii="仿宋_GB2312" w:eastAsia="仿宋_GB2312"/>
          <w:sz w:val="32"/>
          <w:szCs w:val="32"/>
          <w:lang w:eastAsia="zh-CN"/>
        </w:rPr>
      </w:pPr>
    </w:p>
    <w:p>
      <w:pPr>
        <w:rPr>
          <w:lang w:eastAsia="zh-CN"/>
        </w:rPr>
      </w:pPr>
      <w:r>
        <w:rPr>
          <w:sz w:val="0"/>
          <w:szCs w:val="0"/>
          <w:lang w:eastAsia="zh-CN"/>
        </w:rPr>
        <w:br w:type="page"/>
      </w:r>
    </w:p>
    <w:p>
      <w:pPr>
        <w:spacing w:after="0" w:line="560" w:lineRule="exact"/>
        <w:contextualSpacing/>
        <w:jc w:val="center"/>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第二部分 部门决算情况说明</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一、收入支出决算总体情况说明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2025年度收入总计13,577.63万元，其中：本年收入合计13,566.42万元，使用非财政拨款结余（含专用结余）0.00万元，年初结转和结余11.21万元。</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2025年度支出总计13,577.63万元，其中：本年支出合计13,566.21万元，结余分配0.00万元，年末结转和结余11.43万元。</w:t>
      </w:r>
    </w:p>
    <w:p>
      <w:pPr>
        <w:pStyle w:val="26"/>
        <w:spacing w:line="560" w:lineRule="exact"/>
        <w:ind w:firstLine="640"/>
        <w:contextualSpacing/>
        <w:jc w:val="both"/>
        <w:rPr>
          <w:rFonts w:ascii="Times New Roman" w:hAnsi="Times New Roman"/>
          <w:sz w:val="32"/>
          <w:szCs w:val="32"/>
        </w:rPr>
      </w:pPr>
      <w:r>
        <w:rPr>
          <w:rFonts w:ascii="Times New Roman" w:hAnsi="Times New Roman"/>
          <w:sz w:val="32"/>
          <w:szCs w:val="32"/>
        </w:rPr>
        <w:t>收入支出总体与上年相比，增加9,874.64万元，增长266.67%，主要原因是:</w:t>
      </w:r>
      <w:r>
        <w:rPr>
          <w:rFonts w:ascii="Times New Roman" w:hAnsi="Times New Roman"/>
          <w:color w:val="000000" w:themeColor="text1"/>
          <w:kern w:val="16"/>
          <w:sz w:val="32"/>
          <w:szCs w:val="32"/>
        </w:rPr>
        <w:t xml:space="preserve"> </w:t>
      </w:r>
      <w:r>
        <w:rPr>
          <w:rFonts w:ascii="Times New Roman" w:hAnsi="仿宋_GB2312"/>
          <w:color w:val="000000" w:themeColor="text1"/>
          <w:kern w:val="16"/>
          <w:sz w:val="32"/>
          <w:szCs w:val="32"/>
        </w:rPr>
        <w:t>自治区财政增加新疆大厦有限责任公司国有资本实力，追加注册资本金注入</w:t>
      </w:r>
      <w:r>
        <w:rPr>
          <w:rFonts w:hint="eastAsia" w:ascii="Times New Roman" w:hAnsi="仿宋_GB2312"/>
          <w:color w:val="000000" w:themeColor="text1"/>
          <w:kern w:val="16"/>
          <w:sz w:val="32"/>
          <w:szCs w:val="32"/>
        </w:rPr>
        <w:t>；</w:t>
      </w:r>
      <w:r>
        <w:rPr>
          <w:sz w:val="32"/>
          <w:szCs w:val="32"/>
        </w:rPr>
        <w:t>人员基本工资上调</w:t>
      </w:r>
      <w:r>
        <w:rPr>
          <w:rFonts w:ascii="Times New Roman" w:hAnsi="Times New Roman"/>
          <w:sz w:val="32"/>
          <w:szCs w:val="32"/>
        </w:rPr>
        <w:t>、补发工资及安排绩效奖</w:t>
      </w:r>
      <w:r>
        <w:rPr>
          <w:rFonts w:hint="eastAsia" w:ascii="Times New Roman" w:hAnsi="Times New Roman"/>
          <w:sz w:val="32"/>
          <w:szCs w:val="32"/>
        </w:rPr>
        <w:t>、</w:t>
      </w:r>
      <w:r>
        <w:rPr>
          <w:sz w:val="32"/>
          <w:szCs w:val="32"/>
        </w:rPr>
        <w:t>职业年金记实等临时追加预算</w:t>
      </w:r>
      <w:r>
        <w:rPr>
          <w:rFonts w:ascii="Times New Roman" w:hAnsi="Times New Roman"/>
          <w:sz w:val="32"/>
          <w:szCs w:val="32"/>
        </w:rPr>
        <w:t>。</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二、收入决算情况说明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收入13,566.42万元，其中：财政拨款收入13,565.94万元,占100.00%；上级补助收入0.00万元,占0.00%；事业收入0.00万元，占0.00%；经营收入0.00万元,占0.00%；附属单位上缴收入0.00万元，占0.00%；其他收入0.49万元，占0.00%。</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三、支出决算情况说明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本年支出13,566.21万元，其中：基本支出1,472.79万元，占10.86%；项目支出12,093.41万元，占89.14%；上缴上级支出0.00万元，占0.00%；经营支出0.00万元，占0.00%；对附属单位补助支出0.00万元，占0.00%。</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四、财政拨款收入支出决算总体情况说明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2025年度财政拨款收入总计13,565.94万元，其中：年初财政拨款结转和结余0.00万元，本年财政拨款收入13,565.94万元。财政拨款支出总计13,565.94万元，其中：年末财政拨款结转和结余0.00万元，本年财政拨款支出13,565.94万元。</w:t>
      </w:r>
    </w:p>
    <w:p>
      <w:pPr>
        <w:pStyle w:val="26"/>
        <w:spacing w:line="560" w:lineRule="exact"/>
        <w:ind w:firstLine="640"/>
        <w:contextualSpacing/>
        <w:jc w:val="both"/>
        <w:rPr>
          <w:rFonts w:ascii="Times New Roman" w:hAnsi="Times New Roman"/>
          <w:sz w:val="32"/>
          <w:szCs w:val="32"/>
        </w:rPr>
      </w:pPr>
      <w:r>
        <w:rPr>
          <w:rFonts w:ascii="Times New Roman" w:hAnsi="Times New Roman"/>
          <w:sz w:val="32"/>
          <w:szCs w:val="32"/>
        </w:rPr>
        <w:t>财政拨款收入支出总体与上年相比，增加9,874.72万元，增长267.52%，主要原因是：</w:t>
      </w:r>
      <w:r>
        <w:rPr>
          <w:rFonts w:ascii="Times New Roman" w:hAnsi="仿宋_GB2312"/>
          <w:color w:val="000000" w:themeColor="text1"/>
          <w:kern w:val="16"/>
          <w:sz w:val="32"/>
          <w:szCs w:val="32"/>
        </w:rPr>
        <w:t>自治区财政增加新疆大厦有限责任公司国有资本实力，追加注册资本金注入</w:t>
      </w:r>
      <w:r>
        <w:rPr>
          <w:rFonts w:hint="eastAsia" w:ascii="Times New Roman" w:hAnsi="仿宋_GB2312"/>
          <w:color w:val="000000" w:themeColor="text1"/>
          <w:kern w:val="16"/>
          <w:sz w:val="32"/>
          <w:szCs w:val="32"/>
        </w:rPr>
        <w:t>；</w:t>
      </w:r>
      <w:r>
        <w:rPr>
          <w:sz w:val="32"/>
          <w:szCs w:val="32"/>
        </w:rPr>
        <w:t>人员基本工资上调</w:t>
      </w:r>
      <w:r>
        <w:rPr>
          <w:rFonts w:ascii="Times New Roman" w:hAnsi="Times New Roman"/>
          <w:sz w:val="32"/>
          <w:szCs w:val="32"/>
        </w:rPr>
        <w:t>、补发工资及安排绩效奖</w:t>
      </w:r>
      <w:r>
        <w:rPr>
          <w:rFonts w:hint="eastAsia" w:ascii="Times New Roman" w:hAnsi="Times New Roman"/>
          <w:sz w:val="32"/>
          <w:szCs w:val="32"/>
        </w:rPr>
        <w:t>、</w:t>
      </w:r>
      <w:r>
        <w:rPr>
          <w:sz w:val="32"/>
          <w:szCs w:val="32"/>
        </w:rPr>
        <w:t>职业年金记实等临时追加预算</w:t>
      </w:r>
      <w:r>
        <w:rPr>
          <w:rFonts w:ascii="Times New Roman" w:hAnsi="Times New Roman"/>
          <w:sz w:val="32"/>
          <w:szCs w:val="32"/>
        </w:rPr>
        <w:t>。</w:t>
      </w:r>
    </w:p>
    <w:p>
      <w:pPr>
        <w:pStyle w:val="26"/>
        <w:spacing w:line="560" w:lineRule="exact"/>
        <w:ind w:firstLine="640"/>
        <w:contextualSpacing/>
        <w:jc w:val="both"/>
        <w:rPr>
          <w:rFonts w:ascii="Times New Roman" w:hAnsi="Times New Roman"/>
          <w:sz w:val="32"/>
          <w:szCs w:val="32"/>
        </w:rPr>
      </w:pPr>
      <w:r>
        <w:rPr>
          <w:rFonts w:ascii="Times New Roman" w:hAnsi="Times New Roman"/>
          <w:sz w:val="32"/>
          <w:szCs w:val="32"/>
        </w:rPr>
        <w:t>与年初预算相比，年初预算数3,884.63万元，决算数13,565.94万元，预决算差异率249.22%，主要原因是：</w:t>
      </w:r>
      <w:r>
        <w:rPr>
          <w:rFonts w:ascii="Times New Roman" w:hAnsi="仿宋_GB2312"/>
          <w:color w:val="000000" w:themeColor="text1"/>
          <w:kern w:val="16"/>
          <w:sz w:val="32"/>
          <w:szCs w:val="32"/>
        </w:rPr>
        <w:t>自治区财政增加新疆大厦有限责任公司国有资本实力，追加注册资本金注入</w:t>
      </w:r>
      <w:r>
        <w:rPr>
          <w:rFonts w:ascii="Times New Roman" w:hAnsi="Times New Roman"/>
          <w:sz w:val="32"/>
          <w:szCs w:val="32"/>
        </w:rPr>
        <w:t>；</w:t>
      </w:r>
      <w:r>
        <w:rPr>
          <w:sz w:val="32"/>
          <w:szCs w:val="32"/>
        </w:rPr>
        <w:t>人员基本工资上调</w:t>
      </w:r>
      <w:r>
        <w:rPr>
          <w:rFonts w:ascii="Times New Roman" w:hAnsi="Times New Roman"/>
          <w:sz w:val="32"/>
          <w:szCs w:val="32"/>
        </w:rPr>
        <w:t>、补发工资及安排绩效奖</w:t>
      </w:r>
      <w:r>
        <w:rPr>
          <w:rFonts w:hint="eastAsia" w:ascii="Times New Roman" w:hAnsi="Times New Roman"/>
          <w:sz w:val="32"/>
          <w:szCs w:val="32"/>
        </w:rPr>
        <w:t>、</w:t>
      </w:r>
      <w:r>
        <w:rPr>
          <w:sz w:val="32"/>
          <w:szCs w:val="32"/>
        </w:rPr>
        <w:t>职业年金等项目未列入到年初预算</w:t>
      </w:r>
      <w:r>
        <w:rPr>
          <w:rFonts w:ascii="Times New Roman" w:hAnsi="Times New Roman"/>
          <w:sz w:val="32"/>
          <w:szCs w:val="32"/>
        </w:rPr>
        <w:t>。</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五、一般公共预算财政拨款支出决算情况说明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按照党中央、国务院关于党政机关习惯过紧日子的有关要求，厉行节约办一切事业，严控一般性支出。同时坚持有保有压，优化支出结构，提高资金使用效率，合理保障</w:t>
      </w:r>
      <w:r>
        <w:rPr>
          <w:rFonts w:ascii="Times New Roman" w:hAnsi="仿宋_GB2312" w:eastAsia="仿宋_GB2312" w:cs="Times New Roman"/>
          <w:sz w:val="32"/>
          <w:szCs w:val="32"/>
          <w:lang w:eastAsia="zh-CN"/>
        </w:rPr>
        <w:t>政务</w:t>
      </w:r>
      <w:r>
        <w:rPr>
          <w:rFonts w:hint="eastAsia" w:ascii="Times New Roman" w:hAnsi="仿宋_GB2312" w:eastAsia="仿宋_GB2312" w:cs="Times New Roman"/>
          <w:sz w:val="32"/>
          <w:szCs w:val="32"/>
          <w:lang w:eastAsia="zh-CN"/>
        </w:rPr>
        <w:t>活动</w:t>
      </w:r>
      <w:r>
        <w:rPr>
          <w:rFonts w:ascii="Times New Roman" w:hAnsi="Times New Roman" w:eastAsia="仿宋_GB2312" w:cs="Times New Roman"/>
          <w:sz w:val="32"/>
          <w:szCs w:val="32"/>
          <w:lang w:eastAsia="zh-CN"/>
        </w:rPr>
        <w:t>、</w:t>
      </w:r>
      <w:r>
        <w:rPr>
          <w:rFonts w:ascii="Times New Roman" w:hAnsi="仿宋_GB2312" w:eastAsia="仿宋_GB2312" w:cs="Times New Roman"/>
          <w:sz w:val="32"/>
          <w:szCs w:val="32"/>
          <w:lang w:eastAsia="zh-CN"/>
        </w:rPr>
        <w:t>配合开展自治区与中央和国家机关、驻地及周边地区有关单位合作交流、开展资源推介、文化交流、对外宣传</w:t>
      </w:r>
      <w:r>
        <w:rPr>
          <w:rFonts w:ascii="Times New Roman" w:hAnsi="Times New Roman" w:eastAsia="仿宋_GB2312" w:cs="Times New Roman"/>
          <w:sz w:val="32"/>
          <w:szCs w:val="32"/>
          <w:lang w:eastAsia="zh-CN"/>
        </w:rPr>
        <w:t>等重点支出，体现在有关支出科目中。</w:t>
      </w:r>
      <w:bookmarkStart w:id="0" w:name="_GoBack"/>
      <w:bookmarkEnd w:id="0"/>
    </w:p>
    <w:p>
      <w:pPr>
        <w:pStyle w:val="26"/>
        <w:spacing w:line="560" w:lineRule="exact"/>
        <w:ind w:firstLine="640"/>
        <w:contextualSpacing/>
        <w:jc w:val="both"/>
        <w:rPr>
          <w:rFonts w:ascii="Times New Roman" w:hAnsi="Times New Roman"/>
          <w:sz w:val="32"/>
          <w:szCs w:val="32"/>
        </w:rPr>
      </w:pPr>
      <w:r>
        <w:rPr>
          <w:rFonts w:ascii="Times New Roman" w:hAnsi="Times New Roman"/>
          <w:sz w:val="32"/>
          <w:szCs w:val="32"/>
        </w:rPr>
        <w:t>按照支出功能分类，一般公共服务支出（类）政府办公厅（室）及相关机构事务（款）其他政府办公厅（室）及相关机构事务支出（项）的支出占本年财政拨款支出总额的比重最高，2025年度决算数为12,093.41万元，占比89.15%，主要用于</w:t>
      </w:r>
      <w:r>
        <w:rPr>
          <w:rFonts w:ascii="Times New Roman" w:hAnsi="仿宋_GB2312"/>
          <w:color w:val="000000" w:themeColor="text1"/>
          <w:kern w:val="16"/>
          <w:sz w:val="32"/>
          <w:szCs w:val="32"/>
        </w:rPr>
        <w:t>自治区财政增加新疆大厦有限责任公司国有资本实力，追加注册资本金注入</w:t>
      </w:r>
      <w:r>
        <w:rPr>
          <w:rFonts w:ascii="Times New Roman" w:hAnsi="Times New Roman"/>
          <w:sz w:val="32"/>
          <w:szCs w:val="32"/>
        </w:rPr>
        <w:t>；</w:t>
      </w:r>
      <w:r>
        <w:rPr>
          <w:rFonts w:ascii="Times New Roman" w:hAnsi="Times New Roman" w:eastAsia="仿宋"/>
          <w:sz w:val="32"/>
          <w:szCs w:val="32"/>
        </w:rPr>
        <w:t>办公费28.10万元、水费27.75万元、电费8.7万元、物业管理费127.03万元、专项差旅费35万元、维修（护）费148.23万元、租赁费679.82万元、委托业务费790.90万元、其他交通费用15万元、其他商品和服务支出213万元。</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（一）一般公共预算财政拨款支出决算总体情况</w:t>
      </w:r>
    </w:p>
    <w:p>
      <w:pPr>
        <w:pStyle w:val="26"/>
        <w:spacing w:line="560" w:lineRule="exact"/>
        <w:ind w:firstLine="640"/>
        <w:contextualSpacing/>
        <w:jc w:val="both"/>
        <w:rPr>
          <w:rFonts w:ascii="Times New Roman" w:hAnsi="Times New Roman"/>
          <w:sz w:val="32"/>
          <w:szCs w:val="32"/>
        </w:rPr>
      </w:pPr>
      <w:r>
        <w:rPr>
          <w:rFonts w:ascii="Times New Roman" w:hAnsi="Times New Roman"/>
          <w:sz w:val="32"/>
          <w:szCs w:val="32"/>
        </w:rPr>
        <w:t>2025年度一般公共预算财政拨款支出13,565.94万元，占本年支出合计的100.00%。与上年相比，增加9,874.72万元，增长267.52%，主要原因是：</w:t>
      </w:r>
      <w:r>
        <w:rPr>
          <w:rFonts w:ascii="Times New Roman" w:hAnsi="仿宋_GB2312"/>
          <w:color w:val="000000" w:themeColor="text1"/>
          <w:kern w:val="16"/>
          <w:sz w:val="32"/>
          <w:szCs w:val="32"/>
        </w:rPr>
        <w:t>自治区财政增加新疆大厦有限责任公司国有资本实力，追加注册资本金注入</w:t>
      </w:r>
      <w:r>
        <w:rPr>
          <w:rFonts w:hint="eastAsia" w:ascii="Times New Roman" w:hAnsi="仿宋_GB2312"/>
          <w:color w:val="000000" w:themeColor="text1"/>
          <w:kern w:val="16"/>
          <w:sz w:val="32"/>
          <w:szCs w:val="32"/>
        </w:rPr>
        <w:t>；</w:t>
      </w:r>
      <w:r>
        <w:rPr>
          <w:sz w:val="32"/>
          <w:szCs w:val="32"/>
        </w:rPr>
        <w:t>人员基本工资上调</w:t>
      </w:r>
      <w:r>
        <w:rPr>
          <w:rFonts w:ascii="Times New Roman" w:hAnsi="Times New Roman"/>
          <w:sz w:val="32"/>
          <w:szCs w:val="32"/>
        </w:rPr>
        <w:t>、补发工资及安排绩效奖</w:t>
      </w:r>
      <w:r>
        <w:rPr>
          <w:rFonts w:hint="eastAsia" w:ascii="Times New Roman" w:hAnsi="Times New Roman"/>
          <w:sz w:val="32"/>
          <w:szCs w:val="32"/>
        </w:rPr>
        <w:t>、</w:t>
      </w:r>
      <w:r>
        <w:rPr>
          <w:sz w:val="32"/>
          <w:szCs w:val="32"/>
        </w:rPr>
        <w:t>职业年金记实等临时追加预算</w:t>
      </w:r>
      <w:r>
        <w:rPr>
          <w:rFonts w:ascii="Times New Roman" w:hAnsi="Times New Roman"/>
          <w:sz w:val="32"/>
          <w:szCs w:val="32"/>
        </w:rPr>
        <w:t>。与年初预算相比，年初预算数3,884.63万元，决算数13,565.94万元，预决算差异率249.22%，主要原因是：</w:t>
      </w:r>
      <w:r>
        <w:rPr>
          <w:rFonts w:ascii="Times New Roman" w:hAnsi="仿宋_GB2312"/>
          <w:color w:val="000000" w:themeColor="text1"/>
          <w:kern w:val="16"/>
          <w:sz w:val="32"/>
          <w:szCs w:val="32"/>
        </w:rPr>
        <w:t>自治区财政增加新疆大厦有限责任公司国有资本实力，追加注册资本金注入</w:t>
      </w:r>
      <w:r>
        <w:rPr>
          <w:rFonts w:ascii="Times New Roman" w:hAnsi="Times New Roman"/>
          <w:sz w:val="32"/>
          <w:szCs w:val="32"/>
        </w:rPr>
        <w:t>；</w:t>
      </w:r>
      <w:r>
        <w:rPr>
          <w:sz w:val="32"/>
          <w:szCs w:val="32"/>
        </w:rPr>
        <w:t>人员基本工资上调</w:t>
      </w:r>
      <w:r>
        <w:rPr>
          <w:rFonts w:ascii="Times New Roman" w:hAnsi="Times New Roman"/>
          <w:sz w:val="32"/>
          <w:szCs w:val="32"/>
        </w:rPr>
        <w:t>、补发工资及安排绩效奖</w:t>
      </w:r>
      <w:r>
        <w:rPr>
          <w:rFonts w:hint="eastAsia" w:ascii="Times New Roman" w:hAnsi="Times New Roman"/>
          <w:sz w:val="32"/>
          <w:szCs w:val="32"/>
        </w:rPr>
        <w:t>、</w:t>
      </w:r>
      <w:r>
        <w:rPr>
          <w:sz w:val="32"/>
          <w:szCs w:val="32"/>
        </w:rPr>
        <w:t>职业年金等项目未列入到年初预算</w:t>
      </w:r>
      <w:r>
        <w:rPr>
          <w:rFonts w:ascii="Times New Roman" w:hAnsi="Times New Roman"/>
          <w:sz w:val="32"/>
          <w:szCs w:val="32"/>
        </w:rPr>
        <w:t>。</w:t>
      </w:r>
    </w:p>
    <w:p>
      <w:pPr>
        <w:pStyle w:val="26"/>
        <w:spacing w:line="560" w:lineRule="exact"/>
        <w:ind w:firstLine="640"/>
        <w:contextualSpacing/>
        <w:jc w:val="both"/>
        <w:rPr>
          <w:rFonts w:ascii="Times New Roman" w:hAnsi="Times New Roman" w:eastAsia="黑体"/>
          <w:sz w:val="32"/>
          <w:szCs w:val="32"/>
        </w:rPr>
      </w:pPr>
      <w:r>
        <w:rPr>
          <w:rFonts w:ascii="Times New Roman" w:hAnsi="Times New Roman" w:eastAsia="黑体"/>
          <w:sz w:val="32"/>
          <w:szCs w:val="32"/>
        </w:rPr>
        <w:t>（二）一般公共预算财政拨款支出决算结构情况</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1.一般公共服务支出（类）13,106.52万元，占96.61%。</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2.社会保障和就业支出（类）265.23万元，占1.96%。</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3.卫生健康支出（类）110.36万元，占0.81%。</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4.住房保障支出（类）83.83万元，占0.62%。</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（三）一般公共预算财政拨款支出决算具体情况</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ascii="Times New Roman" w:hAnsi="Times New Roman" w:eastAsia="仿宋_GB2312" w:cs="Times New Roman"/>
          <w:sz w:val="32"/>
          <w:szCs w:val="32"/>
          <w:lang w:eastAsia="zh-CN"/>
        </w:rPr>
        <w:t>一般公共服务支出（类）政府办公厅（室）及相关机构事务（款）行政运行（项）：支出决算数为629.10万元，比上年决算减少17.04万元，下降2.64%，主要原因是：人员减少，</w:t>
      </w:r>
      <w:r>
        <w:rPr>
          <w:rFonts w:ascii="Times New Roman" w:hAnsi="Times New Roman" w:cs="Times New Roman"/>
          <w:sz w:val="32"/>
          <w:szCs w:val="32"/>
          <w:lang w:eastAsia="zh-CN"/>
        </w:rPr>
        <w:t>均为合理影响因素。</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w:t>
      </w:r>
      <w:r>
        <w:rPr>
          <w:rFonts w:ascii="Times New Roman" w:hAnsi="Times New Roman" w:eastAsia="仿宋_GB2312" w:cs="Times New Roman"/>
          <w:sz w:val="32"/>
          <w:szCs w:val="32"/>
          <w:lang w:eastAsia="zh-CN"/>
        </w:rPr>
        <w:t>一般公共服务支出（类）政府办公厅（室）及相关机构事务（款）事业运行（项）：支出决算数为384.01万元，比上年决算增加39.27万元，增长11.39%，主要原因是：根据新党编办通子20240946号文件，原北戴河干部休养所事业人员，并入驻京办事处社会事务服务中心管理，人员经费较上年增加。</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w:t>
      </w:r>
      <w:r>
        <w:rPr>
          <w:rFonts w:ascii="Times New Roman" w:hAnsi="Times New Roman" w:eastAsia="仿宋_GB2312" w:cs="Times New Roman"/>
          <w:sz w:val="32"/>
          <w:szCs w:val="32"/>
          <w:lang w:eastAsia="zh-CN"/>
        </w:rPr>
        <w:t>一般公共服务支出（类）政府办公厅（室）及相关机构事务（款）其他政府办公厅（室）及相关机构事务支出（项）：支出决算数为12,093.41万元，比上年决算增加9,761.46万元，增长418.60%，主要原因是：</w:t>
      </w:r>
      <w:r>
        <w:rPr>
          <w:rFonts w:ascii="Times New Roman" w:hAnsi="Times New Roman" w:cs="Times New Roman"/>
          <w:color w:val="000000" w:themeColor="text1"/>
          <w:kern w:val="16"/>
          <w:sz w:val="32"/>
          <w:szCs w:val="32"/>
          <w:lang w:eastAsia="zh-CN"/>
        </w:rPr>
        <w:t>自治区财政增加新疆大厦有限责任公司国有资本实力，追加注册资本金注入</w:t>
      </w:r>
      <w:r>
        <w:rPr>
          <w:rFonts w:ascii="Times New Roman" w:hAnsi="仿宋_GB2312" w:cs="Times New Roman"/>
          <w:color w:val="000000" w:themeColor="text1"/>
          <w:kern w:val="16"/>
          <w:sz w:val="32"/>
          <w:szCs w:val="32"/>
          <w:lang w:eastAsia="zh-CN"/>
        </w:rPr>
        <w:t>。</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w:t>
      </w:r>
      <w:r>
        <w:rPr>
          <w:rFonts w:ascii="Times New Roman" w:hAnsi="Times New Roman" w:eastAsia="仿宋_GB2312" w:cs="Times New Roman"/>
          <w:sz w:val="32"/>
          <w:szCs w:val="32"/>
          <w:lang w:eastAsia="zh-CN"/>
        </w:rPr>
        <w:t>社会保障和就业支出（类）行政事业单位养老支出（款）行政单位离退休（项）：支出决算数为34.17万元，比上年决算增加5.95万元，增长21.08%，主要原因是：</w:t>
      </w:r>
      <w:r>
        <w:rPr>
          <w:rFonts w:ascii="Times New Roman" w:hAnsi="仿宋_GB2312" w:cs="Times New Roman"/>
          <w:color w:val="000000" w:themeColor="text1"/>
          <w:kern w:val="16"/>
          <w:sz w:val="32"/>
          <w:szCs w:val="32"/>
          <w:lang w:eastAsia="zh-CN"/>
        </w:rPr>
        <w:t>正常调整离退休待遇，</w:t>
      </w:r>
      <w:r>
        <w:rPr>
          <w:rFonts w:ascii="Times New Roman" w:cs="Times New Roman"/>
          <w:sz w:val="32"/>
          <w:szCs w:val="32"/>
          <w:lang w:eastAsia="zh-CN"/>
        </w:rPr>
        <w:t>均为合理影响因素。</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w:t>
      </w:r>
      <w:r>
        <w:rPr>
          <w:rFonts w:ascii="Times New Roman" w:hAnsi="Times New Roman" w:eastAsia="仿宋_GB2312" w:cs="Times New Roman"/>
          <w:sz w:val="32"/>
          <w:szCs w:val="32"/>
          <w:lang w:eastAsia="zh-CN"/>
        </w:rPr>
        <w:t>社会保障和就业支出（类）行政事业单位养老支出（款）事业单位离退休（项）：支出决算数为64.50万元，比上年决算增加17.49万元，增长37.20%，主要原因是：发放5名退休关系未转移至办公厅老干处退休人员，2023至2024年度绩效奖。</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6.</w:t>
      </w:r>
      <w:r>
        <w:rPr>
          <w:rFonts w:ascii="Times New Roman" w:hAnsi="Times New Roman" w:eastAsia="仿宋_GB2312" w:cs="Times New Roman"/>
          <w:sz w:val="32"/>
          <w:szCs w:val="32"/>
          <w:lang w:eastAsia="zh-CN"/>
        </w:rPr>
        <w:t>社会保障和就业支出（类）行政事业单位养老支出（款）机关事业单位基本养老保险缴费支出（项）：支出决算数为111.78万元，比上年决算增加3.07万元，增长2.82%，主要原因是：人员</w:t>
      </w:r>
      <w:r>
        <w:rPr>
          <w:rFonts w:hint="eastAsia" w:ascii="Times New Roman" w:hAnsi="Times New Roman" w:eastAsia="仿宋_GB2312" w:cs="Times New Roman"/>
          <w:sz w:val="32"/>
          <w:szCs w:val="32"/>
          <w:lang w:eastAsia="zh-CN"/>
        </w:rPr>
        <w:t>基本工资调整</w:t>
      </w:r>
      <w:r>
        <w:rPr>
          <w:rFonts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调增</w:t>
      </w:r>
      <w:r>
        <w:rPr>
          <w:rFonts w:ascii="Times New Roman" w:hAnsi="Times New Roman" w:eastAsia="仿宋_GB2312" w:cs="Times New Roman"/>
          <w:sz w:val="32"/>
          <w:szCs w:val="32"/>
          <w:lang w:eastAsia="zh-CN"/>
        </w:rPr>
        <w:t>社保基数。</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7.</w:t>
      </w:r>
      <w:r>
        <w:rPr>
          <w:rFonts w:ascii="Times New Roman" w:hAnsi="Times New Roman" w:eastAsia="仿宋_GB2312" w:cs="Times New Roman"/>
          <w:sz w:val="32"/>
          <w:szCs w:val="32"/>
          <w:lang w:eastAsia="zh-CN"/>
        </w:rPr>
        <w:t>社会保障和就业支出（类）行政事业单位养老支出（款）机关事业单位职业年金缴费支出（项）：支出决算数为54.78万元，比上年决算增加54.78万元，增长100.00%，主要原因是：2025年度开始</w:t>
      </w:r>
      <w:r>
        <w:rPr>
          <w:rFonts w:ascii="仿宋_GB2312" w:eastAsia="仿宋_GB2312"/>
          <w:sz w:val="32"/>
          <w:szCs w:val="32"/>
          <w:lang w:eastAsia="zh-CN"/>
        </w:rPr>
        <w:t>职业年金记实</w:t>
      </w:r>
      <w:r>
        <w:rPr>
          <w:rFonts w:ascii="Times New Roman" w:hAnsi="Times New Roman" w:eastAsia="仿宋_GB2312" w:cs="Times New Roman"/>
          <w:sz w:val="32"/>
          <w:szCs w:val="32"/>
          <w:lang w:eastAsia="zh-CN"/>
        </w:rPr>
        <w:t>。</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8.</w:t>
      </w:r>
      <w:r>
        <w:rPr>
          <w:rFonts w:ascii="Times New Roman" w:hAnsi="Times New Roman" w:eastAsia="仿宋_GB2312" w:cs="Times New Roman"/>
          <w:sz w:val="32"/>
          <w:szCs w:val="32"/>
          <w:lang w:eastAsia="zh-CN"/>
        </w:rPr>
        <w:t>卫生健康支出（类）行政事业单位医疗（款）行政单位医疗（项）：支出决算数为36.39万元，比上年决算增加7.90万元，增长27.73%，主要原因是：1、基本医疗保险单位缴费比例3月起从7.5%调整至9%，2、人员</w:t>
      </w:r>
      <w:r>
        <w:rPr>
          <w:rFonts w:hint="eastAsia" w:ascii="Times New Roman" w:hAnsi="Times New Roman" w:eastAsia="仿宋_GB2312" w:cs="Times New Roman"/>
          <w:sz w:val="32"/>
          <w:szCs w:val="32"/>
          <w:lang w:eastAsia="zh-CN"/>
        </w:rPr>
        <w:t>基本工资调整</w:t>
      </w:r>
      <w:r>
        <w:rPr>
          <w:rFonts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调增</w:t>
      </w:r>
      <w:r>
        <w:rPr>
          <w:rFonts w:ascii="Times New Roman" w:hAnsi="Times New Roman" w:eastAsia="仿宋_GB2312" w:cs="Times New Roman"/>
          <w:sz w:val="32"/>
          <w:szCs w:val="32"/>
          <w:lang w:eastAsia="zh-CN"/>
        </w:rPr>
        <w:t>社保基数。</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9.</w:t>
      </w:r>
      <w:r>
        <w:rPr>
          <w:rFonts w:ascii="Times New Roman" w:hAnsi="Times New Roman" w:eastAsia="仿宋_GB2312" w:cs="Times New Roman"/>
          <w:sz w:val="32"/>
          <w:szCs w:val="32"/>
          <w:lang w:eastAsia="zh-CN"/>
        </w:rPr>
        <w:t>卫生健康支出（类）行政事业单位医疗（款）事业单位医疗（项）：支出决算数为25.07万元，比上年决算减少1.81万元，下降6.73%，主要原因是：事业人员调整至行政岗位1人。</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10.</w:t>
      </w:r>
      <w:r>
        <w:rPr>
          <w:rFonts w:ascii="Times New Roman" w:hAnsi="Times New Roman" w:eastAsia="仿宋_GB2312" w:cs="Times New Roman"/>
          <w:sz w:val="32"/>
          <w:szCs w:val="32"/>
          <w:lang w:eastAsia="zh-CN"/>
        </w:rPr>
        <w:t>卫生健康支出（类）行政事业单位医疗（款）公务员医疗补助（项）：支出决算数为48.89万元，比上年决算增加1.33万元，增长2.80%，主要原因是：人员</w:t>
      </w:r>
      <w:r>
        <w:rPr>
          <w:rFonts w:hint="eastAsia" w:ascii="Times New Roman" w:hAnsi="Times New Roman" w:eastAsia="仿宋_GB2312" w:cs="Times New Roman"/>
          <w:sz w:val="32"/>
          <w:szCs w:val="32"/>
          <w:lang w:eastAsia="zh-CN"/>
        </w:rPr>
        <w:t>基本工资调整</w:t>
      </w:r>
      <w:r>
        <w:rPr>
          <w:rFonts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调增</w:t>
      </w:r>
      <w:r>
        <w:rPr>
          <w:rFonts w:ascii="Times New Roman" w:hAnsi="Times New Roman" w:eastAsia="仿宋_GB2312" w:cs="Times New Roman"/>
          <w:sz w:val="32"/>
          <w:szCs w:val="32"/>
          <w:lang w:eastAsia="zh-CN"/>
        </w:rPr>
        <w:t>社保基数。</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11.</w:t>
      </w:r>
      <w:r>
        <w:rPr>
          <w:rFonts w:ascii="Times New Roman" w:hAnsi="Times New Roman" w:eastAsia="仿宋_GB2312" w:cs="Times New Roman"/>
          <w:sz w:val="32"/>
          <w:szCs w:val="32"/>
          <w:lang w:eastAsia="zh-CN"/>
        </w:rPr>
        <w:t>住房保障支出（类）住房改革支出（款）住房公积金（项）：支出决算数为83.83万元，比上年决算增加2.30万元，增长2.82%，主要原因是：人员</w:t>
      </w:r>
      <w:r>
        <w:rPr>
          <w:rFonts w:hint="eastAsia" w:ascii="Times New Roman" w:hAnsi="Times New Roman" w:eastAsia="仿宋_GB2312" w:cs="Times New Roman"/>
          <w:sz w:val="32"/>
          <w:szCs w:val="32"/>
          <w:lang w:eastAsia="zh-CN"/>
        </w:rPr>
        <w:t>基本工资调整</w:t>
      </w:r>
      <w:r>
        <w:rPr>
          <w:rFonts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调增</w:t>
      </w:r>
      <w:r>
        <w:rPr>
          <w:rFonts w:ascii="Times New Roman" w:hAnsi="Times New Roman" w:eastAsia="仿宋_GB2312" w:cs="Times New Roman"/>
          <w:sz w:val="32"/>
          <w:szCs w:val="32"/>
          <w:lang w:eastAsia="zh-CN"/>
        </w:rPr>
        <w:t>社保基数。</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六、一般公共预算财政拨款基本支出决算情况说明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2025年度一般公共预算财政拨款基本支出1,472.52万元，其中：人员经费1,277.36万元，包括：基本工资、津贴补贴、奖金、绩效工资、机关事业单位基本养老保险缴费、职业年金缴费、职工基本医疗保险缴费、公务员医疗补助缴费、其他社会保障缴费、住房公积金、其他工资福利支出、离休费、退休费和其他对个人和家庭的补助。</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公用经费195.16万元，包括：办公费、印刷费、邮电费、取暖费、差旅费、公务接待费、工会经费、福利费、公务用车运行维护费和其他商品和服务支出。</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七、政府性基金预算财政拨款收入支出决算情况说明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本单位本年度无政府性基金预算财政拨款收入、支出及结转和结余，政府性基金预算财政拨款收入支出决算表为空表。</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八、国有资本经营预算财政拨款收入支出决算情况说明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本单位本年度无国有资本经营预算财政拨款收入、支出及结转和结余，国有资本经营预算财政拨款收入支出决算表为空表。</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九、财政拨款“三公”经费支出决算情况说明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2025年度财政拨款“三公”经费支出84.49万元，比上年减少57.46万元，下降40.48%，主要原因是：</w:t>
      </w:r>
      <w:r>
        <w:rPr>
          <w:rFonts w:hint="eastAsia" w:ascii="Times New Roman" w:hAnsi="Times New Roman" w:eastAsia="仿宋_GB2312" w:cs="Times New Roman"/>
          <w:sz w:val="32"/>
          <w:szCs w:val="32"/>
          <w:lang w:eastAsia="zh-CN"/>
        </w:rPr>
        <w:t>1.</w:t>
      </w:r>
      <w:r>
        <w:rPr>
          <w:rFonts w:ascii="Times New Roman" w:hAnsi="Times New Roman" w:eastAsia="仿宋_GB2312" w:cs="Times New Roman"/>
          <w:sz w:val="32"/>
          <w:szCs w:val="32"/>
          <w:lang w:eastAsia="zh-CN"/>
        </w:rPr>
        <w:t>我单位2024年度购置2台其他车辆，2025年度未购置车辆；</w:t>
      </w:r>
      <w:r>
        <w:rPr>
          <w:rFonts w:hint="eastAsia" w:ascii="Times New Roman" w:hAnsi="Times New Roman" w:eastAsia="仿宋_GB2312" w:cs="Times New Roman"/>
          <w:sz w:val="32"/>
          <w:szCs w:val="32"/>
          <w:lang w:eastAsia="zh-CN"/>
        </w:rPr>
        <w:t>2.</w:t>
      </w:r>
      <w:r>
        <w:rPr>
          <w:rFonts w:ascii="Times New Roman" w:hAnsi="Times New Roman" w:eastAsia="仿宋_GB2312" w:cs="Times New Roman"/>
          <w:sz w:val="32"/>
          <w:szCs w:val="32"/>
          <w:lang w:eastAsia="zh-CN"/>
        </w:rPr>
        <w:t>全国成品油价格浮动及车辆更新后维修费用相应降低等因素。其中：因公出国（境）费用支出0.00万元,占0.00%，与上年相比无变化，主要原因是：</w:t>
      </w:r>
      <w:r>
        <w:rPr>
          <w:rFonts w:ascii="仿宋_GB2312" w:eastAsia="仿宋_GB2312"/>
          <w:sz w:val="32"/>
          <w:szCs w:val="32"/>
          <w:lang w:eastAsia="zh-CN"/>
        </w:rPr>
        <w:t>我单位无因公出国（境）费</w:t>
      </w:r>
      <w:r>
        <w:rPr>
          <w:rFonts w:ascii="Times New Roman" w:hAnsi="Times New Roman" w:eastAsia="仿宋_GB2312" w:cs="Times New Roman"/>
          <w:sz w:val="32"/>
          <w:szCs w:val="32"/>
          <w:lang w:eastAsia="zh-CN"/>
        </w:rPr>
        <w:t>；公务用车购置及运行维护费支出82.59万元，占97.75%，比上年减少57.46万元，下降41.03%，主要原因是：</w:t>
      </w:r>
      <w:r>
        <w:rPr>
          <w:rFonts w:hint="eastAsia" w:ascii="Times New Roman" w:hAnsi="Times New Roman" w:eastAsia="仿宋_GB2312" w:cs="Times New Roman"/>
          <w:sz w:val="32"/>
          <w:szCs w:val="32"/>
          <w:lang w:eastAsia="zh-CN"/>
        </w:rPr>
        <w:t>1.</w:t>
      </w:r>
      <w:r>
        <w:rPr>
          <w:rFonts w:ascii="Times New Roman" w:hAnsi="Times New Roman" w:eastAsia="仿宋_GB2312" w:cs="Times New Roman"/>
          <w:sz w:val="32"/>
          <w:szCs w:val="32"/>
          <w:lang w:eastAsia="zh-CN"/>
        </w:rPr>
        <w:t>我单位2024年度购置2台其他车辆，2025年度未购置车辆；</w:t>
      </w:r>
      <w:r>
        <w:rPr>
          <w:rFonts w:hint="eastAsia" w:ascii="Times New Roman" w:hAnsi="Times New Roman" w:eastAsia="仿宋_GB2312" w:cs="Times New Roman"/>
          <w:sz w:val="32"/>
          <w:szCs w:val="32"/>
          <w:lang w:eastAsia="zh-CN"/>
        </w:rPr>
        <w:t>2.</w:t>
      </w:r>
      <w:r>
        <w:rPr>
          <w:rFonts w:ascii="Times New Roman" w:hAnsi="Times New Roman" w:eastAsia="仿宋_GB2312" w:cs="Times New Roman"/>
          <w:sz w:val="32"/>
          <w:szCs w:val="32"/>
          <w:lang w:eastAsia="zh-CN"/>
        </w:rPr>
        <w:t>全国成品油价格浮动及车辆更新后维修费用相应降低等因素；公务接待费支出1.90万元，占2.25%，与上年相比无变化，主要原因是：</w:t>
      </w:r>
      <w:r>
        <w:rPr>
          <w:rFonts w:ascii="仿宋_GB2312" w:eastAsia="仿宋_GB2312"/>
          <w:sz w:val="32"/>
          <w:szCs w:val="32"/>
          <w:lang w:eastAsia="zh-CN"/>
        </w:rPr>
        <w:t>坚持过紧日子原则</w:t>
      </w:r>
      <w:r>
        <w:rPr>
          <w:rFonts w:hint="eastAsia" w:ascii="仿宋_GB2312" w:eastAsia="仿宋_GB2312"/>
          <w:sz w:val="32"/>
          <w:szCs w:val="32"/>
          <w:lang w:eastAsia="zh-CN"/>
        </w:rPr>
        <w:t>，</w:t>
      </w:r>
      <w:r>
        <w:rPr>
          <w:rFonts w:ascii="Times New Roman" w:hAnsi="Times New Roman" w:eastAsia="仿宋_GB2312" w:cs="Times New Roman"/>
          <w:sz w:val="32"/>
          <w:szCs w:val="32"/>
          <w:lang w:eastAsia="zh-CN"/>
        </w:rPr>
        <w:t>严格执行公务接待相关制度。</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具体情况如下：</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因公出国（境）费用0.00万元，开支内容包括。单位全年安排的因公出国（境）团组0个，因公出国（境）0人次。</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用车购置及运行维护费82.59万元，其中：公务用车购置费0.00万元，公务用车运行维护费82.59万元。公务用车运行维护费开支内容包括燃油费、维修费、车辆保险、过路过桥费等。公务用车购置数0辆，公务用车保有量35辆。国有资产占用情况中固定资产车辆35辆，与公务用车保有量差异原因是：固定资产车辆与公务用车保有量无差异。</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公务接待费1.90万元，开支内容包括国内公务接待</w:t>
      </w:r>
      <w:r>
        <w:rPr>
          <w:rFonts w:hint="eastAsia" w:ascii="Times New Roman" w:hAnsi="Times New Roman" w:eastAsia="仿宋_GB2312" w:cs="Times New Roman"/>
          <w:sz w:val="32"/>
          <w:szCs w:val="32"/>
          <w:lang w:eastAsia="zh-CN"/>
        </w:rPr>
        <w:t>工作</w:t>
      </w:r>
      <w:r>
        <w:rPr>
          <w:rFonts w:ascii="Times New Roman" w:hAnsi="Times New Roman" w:eastAsia="仿宋_GB2312" w:cs="Times New Roman"/>
          <w:sz w:val="32"/>
          <w:szCs w:val="32"/>
          <w:lang w:eastAsia="zh-CN"/>
        </w:rPr>
        <w:t>餐费。单位全年安排的国内公务接待14批次，146人次。</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与全年预算相比，财政拨款“三公”经费支出全年预算数93.40万元，决算数84.49万元，预决算差异率-9.54%，主要原因是：</w:t>
      </w:r>
      <w:r>
        <w:rPr>
          <w:rFonts w:ascii="仿宋_GB2312" w:eastAsia="仿宋_GB2312"/>
          <w:sz w:val="32"/>
          <w:szCs w:val="32"/>
          <w:lang w:eastAsia="zh-CN"/>
        </w:rPr>
        <w:t>坚持过紧日子原则</w:t>
      </w:r>
      <w:r>
        <w:rPr>
          <w:rFonts w:hint="eastAsia" w:ascii="仿宋_GB2312" w:eastAsia="仿宋_GB2312"/>
          <w:sz w:val="32"/>
          <w:szCs w:val="32"/>
          <w:lang w:eastAsia="zh-CN"/>
        </w:rPr>
        <w:t>，</w:t>
      </w:r>
      <w:r>
        <w:rPr>
          <w:rFonts w:ascii="Times New Roman" w:hAnsi="Times New Roman" w:eastAsia="仿宋_GB2312" w:cs="Times New Roman"/>
          <w:sz w:val="32"/>
          <w:szCs w:val="32"/>
          <w:lang w:eastAsia="zh-CN"/>
        </w:rPr>
        <w:t>严格执行公务接待相关制度</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全国成品油价格浮动及车辆更新后维修费用相应降低等因素。其中：因公出国（境）费用全年预算数0.00万元，决算数0.00万元，预决算差异率0.00%，主要原因是：</w:t>
      </w:r>
      <w:r>
        <w:rPr>
          <w:rFonts w:ascii="仿宋_GB2312" w:eastAsia="仿宋_GB2312"/>
          <w:sz w:val="32"/>
          <w:szCs w:val="32"/>
          <w:lang w:eastAsia="zh-CN"/>
        </w:rPr>
        <w:t>我单位无因公出国（境）费</w:t>
      </w:r>
      <w:r>
        <w:rPr>
          <w:rFonts w:ascii="Times New Roman" w:hAnsi="Times New Roman" w:eastAsia="仿宋_GB2312" w:cs="Times New Roman"/>
          <w:sz w:val="32"/>
          <w:szCs w:val="32"/>
          <w:lang w:eastAsia="zh-CN"/>
        </w:rPr>
        <w:t>；公务用车购置费全年预算数0.00万元，决算数0.00万元，预决算差异率0.00%，主要原因是：我单位2025年度未购置车辆；公务用车运行维护费全年预算数91.50万元，决算数82.59万元，预决算差异率-9.74%，主要原因是：全国成品油价格浮动及车辆更新后维修费用相应降低等因素；公务接待费全年预算数1.90万元，决算数1.90万元，预决算差异率0.00%，主要原因是：</w:t>
      </w:r>
      <w:r>
        <w:rPr>
          <w:rFonts w:ascii="仿宋_GB2312" w:eastAsia="仿宋_GB2312"/>
          <w:sz w:val="32"/>
          <w:szCs w:val="32"/>
          <w:lang w:eastAsia="zh-CN"/>
        </w:rPr>
        <w:t>坚持过紧日子原则</w:t>
      </w:r>
      <w:r>
        <w:rPr>
          <w:rFonts w:hint="eastAsia" w:ascii="仿宋_GB2312" w:eastAsia="仿宋_GB2312"/>
          <w:sz w:val="32"/>
          <w:szCs w:val="32"/>
          <w:lang w:eastAsia="zh-CN"/>
        </w:rPr>
        <w:t>，</w:t>
      </w:r>
      <w:r>
        <w:rPr>
          <w:rFonts w:ascii="Times New Roman" w:hAnsi="Times New Roman" w:eastAsia="仿宋_GB2312" w:cs="Times New Roman"/>
          <w:sz w:val="32"/>
          <w:szCs w:val="32"/>
          <w:lang w:eastAsia="zh-CN"/>
        </w:rPr>
        <w:t>严格执行公务接待相关制度。</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十、其他重要事项的情况说明</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（一）机关运行经费及公用经费支出情况</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2025年度新疆维吾尔自治区人民政府驻北京办事处（行政单位和参照公务员法管理事业单位）机关运行经费支出195.16万元，比上年增加15.85万元，增长8.84%，主要原因是：</w:t>
      </w:r>
      <w:r>
        <w:rPr>
          <w:rFonts w:hint="eastAsia" w:ascii="Times New Roman" w:hAnsi="Times New Roman" w:eastAsia="仿宋_GB2312" w:cs="Times New Roman"/>
          <w:sz w:val="32"/>
          <w:szCs w:val="32"/>
          <w:lang w:eastAsia="zh-CN"/>
        </w:rPr>
        <w:t>新入职</w:t>
      </w:r>
      <w:r>
        <w:rPr>
          <w:rFonts w:ascii="Times New Roman" w:hAnsi="Times New Roman" w:eastAsia="仿宋_GB2312" w:cs="Times New Roman"/>
          <w:sz w:val="32"/>
          <w:szCs w:val="32"/>
          <w:lang w:eastAsia="zh-CN"/>
        </w:rPr>
        <w:t>遴选干部，相应机关运行经费</w:t>
      </w:r>
      <w:r>
        <w:rPr>
          <w:rFonts w:hint="eastAsia" w:ascii="Times New Roman" w:hAnsi="Times New Roman" w:eastAsia="仿宋_GB2312" w:cs="Times New Roman"/>
          <w:sz w:val="32"/>
          <w:szCs w:val="32"/>
          <w:lang w:eastAsia="zh-CN"/>
        </w:rPr>
        <w:t>增</w:t>
      </w:r>
      <w:r>
        <w:rPr>
          <w:rFonts w:ascii="Times New Roman" w:hAnsi="Times New Roman" w:eastAsia="仿宋_GB2312" w:cs="Times New Roman"/>
          <w:sz w:val="32"/>
          <w:szCs w:val="32"/>
          <w:lang w:eastAsia="zh-CN"/>
        </w:rPr>
        <w:t>加。</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（二）政府采购情况</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2025年度政府采购支出总额775.51万元，其中：政府采购货物支出4.91万元、政府采购工程支出65.39万元、政府采购服务支出705.20万元。</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授予中小企业合同金额70.30万元，占政府采购支出总额的9.07%，其中：授予小微企业合同金额70.30万元，占政府采购支出总额的9.07%。</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（三）国有资产占用情况说明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单位国有资产占用情况不予公开</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十一、预算绩效的情况说明</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根据预算绩效管理要求，本单位2025年度预算绩效管理形成整体支出绩效自评表1个，全年预算总额14130.64万元，实际执行总额13566.21万元；预算绩效评价项目1个，全年预算数2637.00万元，全年执行数2093.41万元。</w:t>
      </w:r>
    </w:p>
    <w:p>
      <w:pPr>
        <w:spacing w:after="0" w:line="560" w:lineRule="exact"/>
        <w:ind w:firstLine="640" w:firstLineChars="200"/>
        <w:contextualSpacing/>
        <w:jc w:val="both"/>
        <w:rPr>
          <w:rFonts w:ascii="Times New Roman" w:hAnsi="Times New Roman" w:eastAsia="仿宋_GB2312" w:cs="Times New Roman"/>
          <w:bCs/>
          <w:sz w:val="32"/>
          <w:szCs w:val="32"/>
          <w:lang w:eastAsia="zh-CN"/>
        </w:rPr>
      </w:pPr>
      <w:r>
        <w:rPr>
          <w:rFonts w:ascii="Times New Roman" w:hAnsi="Times New Roman" w:eastAsia="仿宋_GB2312" w:cs="Times New Roman"/>
          <w:sz w:val="32"/>
          <w:szCs w:val="32"/>
          <w:lang w:eastAsia="zh-CN"/>
        </w:rPr>
        <w:t>预算绩效管理取得的成效：</w:t>
      </w:r>
      <w:r>
        <w:rPr>
          <w:rFonts w:ascii="Times New Roman" w:hAnsi="仿宋_GB2312" w:eastAsia="仿宋_GB2312" w:cs="Times New Roman"/>
          <w:bCs/>
          <w:sz w:val="32"/>
          <w:szCs w:val="32"/>
          <w:lang w:eastAsia="zh-CN"/>
        </w:rPr>
        <w:t>一是目标明确化。通过更加科学、合理、精准地设置绩效目标，避免了项目执行过程中的主观性和随意性，更加明确地反映了项目建设实效，切实提高了项目建设质量，确保绩效评价结果达到预期目标；二是过程透明化。通过不断加强事前绩效评估、绩效目标管理、绩效运行监控、绩效评价管理四个阶段的预算绩效管理体系建设，促进部门预算管理与绩效管理深度融合，有效提升了绩效管理全过程工作的透明度，推动绩效管理标准科学、程序规范、方法合理、结果可信；三是决策效益化。充分发挥了预算绩效评价结果的导向作用，有效提高了各部门对绩效管理工作的重视程度，优化资源配置，将更多资源投入到绩效评价为优的项目中，切实发挥资金使用效益。</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发现的问题及原因：开展全面实施预算绩效管理工作以来，驻京办事处解决了“有没有”和“会不会”的问题，但距离自治区关于全面实施预算绩效管理的工作要求，还存在不足。一是科学合理设定绩效指标的水平有待提高。在数量指标、经济效益指标的设定较为保守，预期指标与实际完成指标值存在一定的偏差；二是由于新疆驻京办事处工作的特殊性，下半年支出进度总体高于上半年支出进度，经费支出进度达不到均衡性支出的要求，影响阶段性绩效目标的完成率。</w:t>
      </w:r>
    </w:p>
    <w:p>
      <w:pPr>
        <w:spacing w:after="0" w:line="560" w:lineRule="exact"/>
        <w:ind w:firstLine="640" w:firstLineChars="200"/>
        <w:contextualSpacing/>
        <w:jc w:val="both"/>
        <w:rPr>
          <w:rFonts w:ascii="Times New Roman" w:hAnsi="Times New Roman" w:eastAsia="仿宋_GB2312" w:cs="Times New Roman"/>
          <w:bCs/>
          <w:sz w:val="32"/>
          <w:szCs w:val="32"/>
          <w:lang w:eastAsia="zh-CN"/>
        </w:rPr>
      </w:pPr>
      <w:r>
        <w:rPr>
          <w:rFonts w:ascii="Times New Roman" w:hAnsi="仿宋_GB2312" w:eastAsia="仿宋_GB2312" w:cs="Times New Roman"/>
          <w:bCs/>
          <w:sz w:val="32"/>
          <w:szCs w:val="32"/>
          <w:lang w:eastAsia="zh-CN"/>
        </w:rPr>
        <w:t>下一步改进措施：新京办事处将深入贯彻落实自治区党委、自治区人民政府关于全面实施预算绩效管理的要求，不断提升预算绩效管理水平。一是落实落细项目实施部门主体责任，不断增强绩效目标设定的科学性、规范性，有效发挥绩效目标的引导约束作用；二是高质量开展绩效监控，对年中三次绩效监控和评价中发现的问题认真分析原因，及时采取措施予以纠偏，确保绩效监控落实到位。</w:t>
      </w:r>
    </w:p>
    <w:p>
      <w:pPr>
        <w:spacing w:after="0" w:line="560" w:lineRule="exact"/>
        <w:ind w:firstLine="640" w:firstLineChars="200"/>
        <w:contextualSpacing/>
        <w:jc w:val="both"/>
        <w:rPr>
          <w:rFonts w:ascii="Times New Roman" w:hAnsi="Times New Roman" w:eastAsia="仿宋_GB2312" w:cs="Times New Roman"/>
          <w:bCs/>
          <w:sz w:val="32"/>
          <w:szCs w:val="32"/>
          <w:lang w:eastAsia="zh-CN"/>
        </w:rPr>
      </w:pPr>
      <w:r>
        <w:rPr>
          <w:rFonts w:ascii="Times New Roman" w:hAnsi="仿宋_GB2312" w:eastAsia="仿宋_GB2312" w:cs="Times New Roman"/>
          <w:bCs/>
          <w:sz w:val="32"/>
          <w:szCs w:val="32"/>
          <w:lang w:eastAsia="zh-CN"/>
        </w:rPr>
        <w:t>具体附整体支出绩效自评表、项目支出绩效自评表及项目支出绩效评价报告。</w:t>
      </w:r>
    </w:p>
    <w:p>
      <w:pPr>
        <w:spacing w:after="0" w:line="560" w:lineRule="exact"/>
        <w:ind w:firstLine="640" w:firstLineChars="200"/>
        <w:contextualSpacing/>
        <w:jc w:val="both"/>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十二、其他需说明的事项</w:t>
      </w:r>
    </w:p>
    <w:p>
      <w:pPr>
        <w:spacing w:after="0" w:line="560" w:lineRule="exact"/>
        <w:ind w:firstLine="640" w:firstLineChars="200"/>
        <w:contextualSpacing/>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本单位无其他需说明的事项。</w:t>
      </w:r>
    </w:p>
    <w:p>
      <w:pPr>
        <w:spacing w:line="240" w:lineRule="auto"/>
        <w:ind w:firstLine="640" w:firstLineChars="200"/>
        <w:rPr>
          <w:rFonts w:ascii="仿宋_GB2312" w:eastAsia="仿宋_GB2312"/>
          <w:sz w:val="32"/>
          <w:szCs w:val="32"/>
          <w:lang w:eastAsia="zh-CN"/>
        </w:rPr>
      </w:pPr>
    </w:p>
    <w:p>
      <w:pPr>
        <w:rPr>
          <w:lang w:eastAsia="zh-CN"/>
        </w:rPr>
      </w:pPr>
      <w:r>
        <w:rPr>
          <w:sz w:val="0"/>
          <w:szCs w:val="0"/>
          <w:lang w:eastAsia="zh-CN"/>
        </w:rPr>
        <w:br w:type="page"/>
      </w:r>
    </w:p>
    <w:p>
      <w:pPr>
        <w:spacing w:after="0" w:line="560" w:lineRule="exact"/>
        <w:jc w:val="center"/>
        <w:rPr>
          <w:rFonts w:ascii="黑体" w:hAnsi="黑体" w:eastAsia="黑体" w:cs="Times New Roman"/>
          <w:sz w:val="32"/>
          <w:szCs w:val="32"/>
          <w:lang w:eastAsia="zh-CN"/>
        </w:rPr>
      </w:pPr>
      <w:r>
        <w:rPr>
          <w:rFonts w:ascii="黑体" w:hAnsi="黑体" w:eastAsia="黑体" w:cs="Times New Roman"/>
          <w:sz w:val="32"/>
          <w:szCs w:val="32"/>
          <w:lang w:eastAsia="zh-CN"/>
        </w:rPr>
        <w:t>第三部分 专业名词解释</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一、财政拨款收入：</w:t>
      </w:r>
      <w:r>
        <w:rPr>
          <w:rFonts w:ascii="Times New Roman" w:hAnsi="Times New Roman" w:eastAsia="仿宋_GB2312" w:cs="Times New Roman"/>
          <w:sz w:val="32"/>
          <w:szCs w:val="32"/>
          <w:lang w:eastAsia="zh-CN"/>
        </w:rPr>
        <w:t>指单位本年度从同级财政部门取得的财政拨款，包括一般公共预算财政拨款、政府性基金预算财政拨款和国有资本经营预算财政拨款。</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二、上级补助收入：</w:t>
      </w:r>
      <w:r>
        <w:rPr>
          <w:rFonts w:ascii="Times New Roman" w:hAnsi="Times New Roman" w:eastAsia="仿宋_GB2312" w:cs="Times New Roman"/>
          <w:sz w:val="32"/>
          <w:szCs w:val="32"/>
          <w:lang w:eastAsia="zh-CN"/>
        </w:rPr>
        <w:t>指事业单位从主管部门和上级单位取得的非财政补助收入。</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三、事业收入：</w:t>
      </w:r>
      <w:r>
        <w:rPr>
          <w:rFonts w:ascii="Times New Roman" w:hAnsi="Times New Roman" w:eastAsia="仿宋_GB2312" w:cs="Times New Roman"/>
          <w:sz w:val="32"/>
          <w:szCs w:val="32"/>
          <w:lang w:eastAsia="zh-CN"/>
        </w:rPr>
        <w:t>指事业单位开展专业业务活动及其辅助活动取得的收入。</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四、经营收入：</w:t>
      </w:r>
      <w:r>
        <w:rPr>
          <w:rFonts w:ascii="Times New Roman" w:hAnsi="Times New Roman" w:eastAsia="仿宋_GB2312" w:cs="Times New Roman"/>
          <w:sz w:val="32"/>
          <w:szCs w:val="32"/>
          <w:lang w:eastAsia="zh-CN"/>
        </w:rPr>
        <w:t>指事业单位在专业业务活动及其辅助活动之外开展非独立核算经营活动取得的收入。</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五、附属单位上缴收入：</w:t>
      </w:r>
      <w:r>
        <w:rPr>
          <w:rFonts w:ascii="Times New Roman" w:hAnsi="Times New Roman" w:eastAsia="仿宋_GB2312" w:cs="Times New Roman"/>
          <w:sz w:val="32"/>
          <w:szCs w:val="32"/>
          <w:lang w:eastAsia="zh-CN"/>
        </w:rPr>
        <w:t>指事业单位附属独立核算单位按照有关规定上缴的收入。</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六、其他收入：</w:t>
      </w:r>
      <w:r>
        <w:rPr>
          <w:rFonts w:ascii="Times New Roman" w:hAnsi="Times New Roman" w:eastAsia="仿宋_GB2312" w:cs="Times New Roman"/>
          <w:sz w:val="32"/>
          <w:szCs w:val="32"/>
          <w:lang w:eastAsia="zh-CN"/>
        </w:rPr>
        <w:t>指单位取得的除上述“财政拨款收入”“上级补助收入”“事业收入”“经营收入”“附属单位上缴收入”以外的各项收入。</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七、年初结转和结余：</w:t>
      </w:r>
      <w:r>
        <w:rPr>
          <w:rFonts w:ascii="Times New Roman" w:hAnsi="Times New Roman" w:eastAsia="仿宋_GB2312" w:cs="Times New Roman"/>
          <w:sz w:val="32"/>
          <w:szCs w:val="32"/>
          <w:lang w:eastAsia="zh-CN"/>
        </w:rPr>
        <w:t>指单位上年结转本年使用的基本支出结转、项目支出结转和结余、经营结余。</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八、使用非财政拨款结余（含专用结余）：</w:t>
      </w:r>
      <w:r>
        <w:rPr>
          <w:rFonts w:ascii="Times New Roman" w:hAnsi="Times New Roman" w:eastAsia="仿宋_GB2312" w:cs="Times New Roman"/>
          <w:sz w:val="32"/>
          <w:szCs w:val="32"/>
          <w:lang w:eastAsia="zh-CN"/>
        </w:rPr>
        <w:t>指单位按照预算管理要求使用非财政拨款结余弥补收支差额的金额，以及使用专用结余安排支出的金额。</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九、结余分配</w:t>
      </w:r>
      <w:r>
        <w:rPr>
          <w:rFonts w:ascii="Times New Roman" w:hAnsi="Times New Roman" w:eastAsia="仿宋_GB2312" w:cs="Times New Roman"/>
          <w:sz w:val="32"/>
          <w:szCs w:val="32"/>
          <w:lang w:eastAsia="zh-CN"/>
        </w:rPr>
        <w:t>：指单位缴纳企业所得税以及从非财政拨款结余或经营结余中提取各类结余的情况。</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十、年末结转和结余</w:t>
      </w:r>
      <w:r>
        <w:rPr>
          <w:rFonts w:ascii="Times New Roman" w:hAnsi="Times New Roman" w:eastAsia="仿宋_GB2312" w:cs="Times New Roman"/>
          <w:sz w:val="32"/>
          <w:szCs w:val="32"/>
          <w:lang w:eastAsia="zh-CN"/>
        </w:rPr>
        <w:t>：指单位结转下年的基本支出结转、项目支出结转和结余、经营结余。</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十一、基本支出</w:t>
      </w:r>
      <w:r>
        <w:rPr>
          <w:rFonts w:ascii="Times New Roman" w:hAnsi="Times New Roman" w:eastAsia="仿宋_GB2312" w:cs="Times New Roman"/>
          <w:sz w:val="32"/>
          <w:szCs w:val="32"/>
          <w:lang w:eastAsia="zh-CN"/>
        </w:rPr>
        <w:t>：指单位为保障机构正常运转、完成日常工作任务而发生的各项支出。</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十二、项目支出：</w:t>
      </w:r>
      <w:r>
        <w:rPr>
          <w:rFonts w:ascii="Times New Roman" w:hAnsi="Times New Roman" w:eastAsia="仿宋_GB2312" w:cs="Times New Roman"/>
          <w:sz w:val="32"/>
          <w:szCs w:val="32"/>
          <w:lang w:eastAsia="zh-CN"/>
        </w:rPr>
        <w:t>指单位为完成特定的行政工作任务或事业发展目标，在基本支出之外发生的各项支出。</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十三、上缴上级支出：</w:t>
      </w:r>
      <w:r>
        <w:rPr>
          <w:rFonts w:ascii="Times New Roman" w:hAnsi="Times New Roman" w:eastAsia="仿宋_GB2312" w:cs="Times New Roman"/>
          <w:sz w:val="32"/>
          <w:szCs w:val="32"/>
          <w:lang w:eastAsia="zh-CN"/>
        </w:rPr>
        <w:t>指事业单位按照财政部门和主管部门的规定上缴上级单位的支出。</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十四、经营支出：</w:t>
      </w:r>
      <w:r>
        <w:rPr>
          <w:rFonts w:ascii="Times New Roman" w:hAnsi="Times New Roman" w:eastAsia="仿宋_GB2312" w:cs="Times New Roman"/>
          <w:sz w:val="32"/>
          <w:szCs w:val="32"/>
          <w:lang w:eastAsia="zh-CN"/>
        </w:rPr>
        <w:t>指事业单位在专业活动及辅助活动之外开展非独立核算经营活动发生的支出。</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十五、对附属单位补助支出：</w:t>
      </w:r>
      <w:r>
        <w:rPr>
          <w:rFonts w:ascii="Times New Roman" w:hAnsi="Times New Roman" w:eastAsia="仿宋_GB2312" w:cs="Times New Roman"/>
          <w:sz w:val="32"/>
          <w:szCs w:val="32"/>
          <w:lang w:eastAsia="zh-CN"/>
        </w:rPr>
        <w:t>指事业单位用财政补助收入之外的收入对附属单位补助发生的支出。</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十六、“三公”经费：</w:t>
      </w:r>
      <w:r>
        <w:rPr>
          <w:rFonts w:ascii="Times New Roman" w:hAnsi="Times New Roman" w:eastAsia="仿宋_GB2312" w:cs="Times New Roman"/>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after="0" w:line="560" w:lineRule="exact"/>
        <w:ind w:firstLine="642"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十七、机关运行经费：</w:t>
      </w:r>
      <w:r>
        <w:rPr>
          <w:rFonts w:ascii="Times New Roman" w:hAnsi="Times New Roman" w:eastAsia="仿宋_GB2312" w:cs="Times New Roman"/>
          <w:sz w:val="32"/>
          <w:szCs w:val="32"/>
          <w:lang w:eastAsia="zh-CN"/>
        </w:rPr>
        <w:t>指行政单位和参照公务员法管理的事业单位财政拨款基本支出中的公用经费支出。</w:t>
      </w:r>
    </w:p>
    <w:p>
      <w:pPr>
        <w:rPr>
          <w:lang w:eastAsia="zh-CN"/>
        </w:rPr>
      </w:pPr>
      <w:r>
        <w:rPr>
          <w:sz w:val="0"/>
          <w:szCs w:val="0"/>
          <w:lang w:eastAsia="zh-CN"/>
        </w:rPr>
        <w:br w:type="page"/>
      </w:r>
    </w:p>
    <w:p>
      <w:pPr>
        <w:spacing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方正书宋_GBK"/>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C256F1"/>
    <w:rsid w:val="000002BC"/>
    <w:rsid w:val="00005D0B"/>
    <w:rsid w:val="00015608"/>
    <w:rsid w:val="00015D50"/>
    <w:rsid w:val="00032CFA"/>
    <w:rsid w:val="00035BE8"/>
    <w:rsid w:val="00051ACE"/>
    <w:rsid w:val="00067805"/>
    <w:rsid w:val="00097B6D"/>
    <w:rsid w:val="000A72E4"/>
    <w:rsid w:val="000C6F18"/>
    <w:rsid w:val="000F08BD"/>
    <w:rsid w:val="00105F7B"/>
    <w:rsid w:val="0011012A"/>
    <w:rsid w:val="00112EEB"/>
    <w:rsid w:val="00143452"/>
    <w:rsid w:val="001451D0"/>
    <w:rsid w:val="00146342"/>
    <w:rsid w:val="0015442B"/>
    <w:rsid w:val="001703E4"/>
    <w:rsid w:val="001800BC"/>
    <w:rsid w:val="001C41E4"/>
    <w:rsid w:val="001C4686"/>
    <w:rsid w:val="001D2956"/>
    <w:rsid w:val="0021171A"/>
    <w:rsid w:val="002309F4"/>
    <w:rsid w:val="00237DCE"/>
    <w:rsid w:val="00260F3A"/>
    <w:rsid w:val="00274A9A"/>
    <w:rsid w:val="002814E3"/>
    <w:rsid w:val="002850AD"/>
    <w:rsid w:val="002B3412"/>
    <w:rsid w:val="002F2031"/>
    <w:rsid w:val="00337FAF"/>
    <w:rsid w:val="00396268"/>
    <w:rsid w:val="003B16C3"/>
    <w:rsid w:val="003C4C66"/>
    <w:rsid w:val="003E697A"/>
    <w:rsid w:val="0042338D"/>
    <w:rsid w:val="004402EF"/>
    <w:rsid w:val="004452B5"/>
    <w:rsid w:val="004812B5"/>
    <w:rsid w:val="0048454B"/>
    <w:rsid w:val="0049048D"/>
    <w:rsid w:val="004B14D2"/>
    <w:rsid w:val="004C1EC0"/>
    <w:rsid w:val="005275D7"/>
    <w:rsid w:val="00540554"/>
    <w:rsid w:val="00554226"/>
    <w:rsid w:val="005D3B83"/>
    <w:rsid w:val="00616AC9"/>
    <w:rsid w:val="00617E24"/>
    <w:rsid w:val="0063569B"/>
    <w:rsid w:val="0069577A"/>
    <w:rsid w:val="006E5160"/>
    <w:rsid w:val="006F4E0B"/>
    <w:rsid w:val="006F61CB"/>
    <w:rsid w:val="007025B2"/>
    <w:rsid w:val="00736A20"/>
    <w:rsid w:val="00737BCC"/>
    <w:rsid w:val="0077516E"/>
    <w:rsid w:val="0078255E"/>
    <w:rsid w:val="00785AB4"/>
    <w:rsid w:val="007945EE"/>
    <w:rsid w:val="007D0BB6"/>
    <w:rsid w:val="007F4544"/>
    <w:rsid w:val="007F6A78"/>
    <w:rsid w:val="0081518B"/>
    <w:rsid w:val="00882496"/>
    <w:rsid w:val="008B461C"/>
    <w:rsid w:val="008F486A"/>
    <w:rsid w:val="008F522D"/>
    <w:rsid w:val="00904282"/>
    <w:rsid w:val="00930683"/>
    <w:rsid w:val="00955E14"/>
    <w:rsid w:val="00963D18"/>
    <w:rsid w:val="009A455C"/>
    <w:rsid w:val="009F213E"/>
    <w:rsid w:val="00A45C54"/>
    <w:rsid w:val="00A5268D"/>
    <w:rsid w:val="00AC0045"/>
    <w:rsid w:val="00AF2B0E"/>
    <w:rsid w:val="00AF37C1"/>
    <w:rsid w:val="00AF77BF"/>
    <w:rsid w:val="00AF7F6D"/>
    <w:rsid w:val="00B20457"/>
    <w:rsid w:val="00B43806"/>
    <w:rsid w:val="00B77AEE"/>
    <w:rsid w:val="00B8383E"/>
    <w:rsid w:val="00BC4656"/>
    <w:rsid w:val="00BC4C03"/>
    <w:rsid w:val="00BE1C32"/>
    <w:rsid w:val="00C22451"/>
    <w:rsid w:val="00C256F1"/>
    <w:rsid w:val="00C4295F"/>
    <w:rsid w:val="00C72FFA"/>
    <w:rsid w:val="00CB488E"/>
    <w:rsid w:val="00CC7EE3"/>
    <w:rsid w:val="00D33309"/>
    <w:rsid w:val="00D420DF"/>
    <w:rsid w:val="00D65665"/>
    <w:rsid w:val="00DB0676"/>
    <w:rsid w:val="00DB6990"/>
    <w:rsid w:val="00DD402F"/>
    <w:rsid w:val="00DF2F59"/>
    <w:rsid w:val="00DF7512"/>
    <w:rsid w:val="00E01B91"/>
    <w:rsid w:val="00E0722A"/>
    <w:rsid w:val="00E17D33"/>
    <w:rsid w:val="00E3099C"/>
    <w:rsid w:val="00E640C4"/>
    <w:rsid w:val="00E72DE9"/>
    <w:rsid w:val="00E9716E"/>
    <w:rsid w:val="00EE06ED"/>
    <w:rsid w:val="00EF4268"/>
    <w:rsid w:val="00F1291E"/>
    <w:rsid w:val="00F277F2"/>
    <w:rsid w:val="00F53951"/>
    <w:rsid w:val="00F806AD"/>
    <w:rsid w:val="00F9330C"/>
    <w:rsid w:val="00F958D3"/>
    <w:rsid w:val="00FC0471"/>
    <w:rsid w:val="7FDF9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semiHidden/>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semiHidden/>
    <w:qFormat/>
    <w:uiPriority w:val="99"/>
    <w:rPr>
      <w:sz w:val="18"/>
      <w:szCs w:val="18"/>
    </w:rPr>
  </w:style>
  <w:style w:type="paragraph" w:customStyle="1" w:styleId="25">
    <w:name w:val="列出段落1"/>
    <w:basedOn w:val="1"/>
    <w:qFormat/>
    <w:uiPriority w:val="0"/>
    <w:pPr>
      <w:widowControl w:val="0"/>
      <w:spacing w:after="0" w:line="240" w:lineRule="auto"/>
      <w:ind w:firstLine="420" w:firstLineChars="200"/>
      <w:jc w:val="both"/>
    </w:pPr>
    <w:rPr>
      <w:rFonts w:ascii="Times New Roman" w:hAnsi="Times New Roman" w:eastAsia="宋体" w:cs="Times New Roman"/>
      <w:kern w:val="2"/>
      <w:sz w:val="21"/>
      <w:szCs w:val="24"/>
      <w:lang w:eastAsia="zh-CN"/>
    </w:rPr>
  </w:style>
  <w:style w:type="paragraph" w:customStyle="1" w:styleId="26">
    <w:name w:val="无间隔1"/>
    <w:qFormat/>
    <w:uiPriority w:val="1"/>
    <w:pPr>
      <w:widowControl w:val="0"/>
      <w:spacing w:after="0" w:line="660" w:lineRule="exact"/>
      <w:ind w:firstLine="560" w:firstLineChars="200"/>
    </w:pPr>
    <w:rPr>
      <w:rFonts w:ascii="仿宋_GB2312" w:hAnsi="Calibri"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1128</Words>
  <Characters>6436</Characters>
  <Lines>53</Lines>
  <Paragraphs>15</Paragraphs>
  <TotalTime>353</TotalTime>
  <ScaleCrop>false</ScaleCrop>
  <LinksUpToDate>false</LinksUpToDate>
  <CharactersWithSpaces>7549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2026-08-14T17:50:00Z</dcterms:created>
  <dc:creator>caiw</dc:creator>
  <cp:lastModifiedBy>user</cp:lastModifiedBy>
  <dcterms:modified xsi:type="dcterms:W3CDTF">2026-08-21T18:06:19Z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