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26CEA">
      <w:pPr>
        <w:spacing w:line="240" w:lineRule="auto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黑体" w:hAnsi="黑体" w:eastAsia="黑体" w:cs="宋体"/>
          <w:color w:val="333333"/>
          <w:sz w:val="32"/>
          <w:szCs w:val="32"/>
          <w:lang w:val="en-US" w:eastAsia="zh-CN" w:bidi="ar"/>
        </w:rPr>
        <w:t xml:space="preserve"> </w:t>
      </w:r>
    </w:p>
    <w:p w14:paraId="1E3FA169">
      <w:pPr>
        <w:spacing w:line="240" w:lineRule="auto"/>
        <w:jc w:val="both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725B131D">
      <w:pPr>
        <w:spacing w:line="240" w:lineRule="auto"/>
        <w:jc w:val="both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 w14:paraId="4A24B5AE">
      <w:pPr>
        <w:spacing w:line="240" w:lineRule="auto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自治区本级部门单位整体支出绩效</w:t>
      </w:r>
    </w:p>
    <w:p w14:paraId="5C73DBAB">
      <w:pPr>
        <w:spacing w:line="240" w:lineRule="auto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 w14:paraId="6EB043E1">
      <w:pPr>
        <w:spacing w:line="240" w:lineRule="auto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81FB361">
      <w:pPr>
        <w:spacing w:line="240" w:lineRule="auto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 w14:paraId="798821B5">
      <w:pPr>
        <w:spacing w:line="240" w:lineRule="auto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/>
          <w:b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 w14:paraId="379BF3A0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66DC97D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37ABFA6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9F56205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2094141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FB75607">
      <w:pPr>
        <w:spacing w:line="240" w:lineRule="auto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5CE857E">
      <w:pPr>
        <w:spacing w:line="240" w:lineRule="auto"/>
        <w:jc w:val="center"/>
        <w:rPr>
          <w:rFonts w:hint="eastAsia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val="en-US" w:eastAsia="zh-CN"/>
        </w:rPr>
        <w:t xml:space="preserve"> </w:t>
      </w:r>
    </w:p>
    <w:p w14:paraId="4E6D38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600" w:lineRule="exact"/>
        <w:ind w:firstLine="849" w:firstLineChars="236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  <w:t>部门单位名称（公章）：自治区文博院</w:t>
      </w:r>
    </w:p>
    <w:p w14:paraId="1B430F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600" w:lineRule="exact"/>
        <w:ind w:firstLine="849" w:firstLineChars="236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  <w:t>填报时间：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  <w:t>03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eastAsia="en-US"/>
        </w:rPr>
        <w:t>日</w:t>
      </w:r>
    </w:p>
    <w:p w14:paraId="50BE48EB">
      <w:pPr>
        <w:spacing w:line="240" w:lineRule="auto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1576B38B">
      <w:pPr>
        <w:numPr>
          <w:ilvl w:val="0"/>
          <w:numId w:val="0"/>
        </w:numPr>
        <w:snapToGrid w:val="0"/>
        <w:spacing w:line="240" w:lineRule="auto"/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</w:pPr>
    </w:p>
    <w:p w14:paraId="6A4ECC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43" w:firstLineChars="200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一、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基本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  <w:t>概况</w:t>
      </w:r>
    </w:p>
    <w:p w14:paraId="63675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一）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部门单位基本情况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:</w:t>
      </w:r>
    </w:p>
    <w:p w14:paraId="270236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320" w:firstLineChars="1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主要职能</w:t>
      </w:r>
    </w:p>
    <w:p w14:paraId="74737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贯彻执行党和国家有关文物博物的法律法规和方针政策，承担文物博物事业发展研究及实施。承担全区文物的考古研究，保护维修、展示利用、文创研发和博物馆建设等工作。承担“文化润疆”战略相关课题研究及组织实施工作。承担文物保护利用技术、保护材料、文物资源规划、馆藏文物修复技术的研究和学术交流等工作。承担龟兹文化研究，龟兹石窟的保护、管理、展示利用和相关学术交流活动。完成自治区党委、自治区人民政府交办的其他事项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2、人员构成</w:t>
      </w:r>
    </w:p>
    <w:p w14:paraId="59746E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新疆维吾尔自治区文博院本级为涉改单位，原直属 4家预算单位（新疆维吾尔自治区博物馆、新疆维吾尔自治区克孜尔石窟研究所、新疆维吾尔自治区文化遗产保护中心、新疆维吾尔自治区文物考古研究所）的管理权限于 2024年9月划转至新疆维吾尔自治区文化和旅游厅。文博院机关内设8个科室，包括：办公室、交流推广部、信息技术部、龟兹学术部、博物馆与革命文物部、文物安全部、规划财务部和组织人事部（机关党委）。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2024年年末新疆维吾尔自治区文博院实有在职人员为268人，行政在职0，事业人员268人；实有离休人员1人，实有退休人员154人。</w:t>
      </w:r>
      <w:bookmarkStart w:id="0" w:name="_Hlk43849111"/>
      <w:bookmarkEnd w:id="0"/>
    </w:p>
    <w:p w14:paraId="3A57F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 w14:paraId="3AB84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27" w:firstLineChars="200"/>
        <w:jc w:val="left"/>
        <w:textAlignment w:val="auto"/>
        <w:rPr>
          <w:rFonts w:hint="eastAsia" w:ascii="黑体" w:hAnsi="黑体" w:eastAsia="黑体" w:cs="黑体"/>
          <w:b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6"/>
          <w:rFonts w:hint="eastAsia" w:ascii="黑体" w:hAnsi="黑体" w:eastAsia="黑体" w:cs="黑体"/>
          <w:b/>
          <w:bCs w:val="0"/>
          <w:spacing w:val="-4"/>
          <w:sz w:val="32"/>
          <w:szCs w:val="32"/>
          <w:lang w:val="en-US" w:eastAsia="zh-CN"/>
        </w:rPr>
        <w:t>(二)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  <w:t>部门单位年度重点工作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val="en-US" w:eastAsia="zh-CN" w:bidi="ar"/>
        </w:rPr>
        <w:t>:</w:t>
      </w:r>
    </w:p>
    <w:p w14:paraId="6DB33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2024年，自治区文博院为全力保障自治区文博院各项工作履职到位，对财政下达的项目资金预算进行合理分配，精打细算，讲求实效，科学设定绩效目标，结合任务分解项目资金预算，确保项目落实到位。在预算执行中，坚持勤俭节约原则，从严控制一般性支出，加强和规范预算资金的管理，结合全年工作计划和部门职能，进一步细化预算的执行，按照项目实施计划，分解项目月度执行进度，严格开支标准和内容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当前“博物馆热”已成为全疆级现象、国内外盛赞新疆的一大亮点。自治区博物馆成为国内外游客赴疆必“打卡”景区之一，今年先后接待省部级以上领导51批次，接待柬埔寨国王西哈莫尼等外宾150余批次，日接待最高突破1.6万人次，创历史新高。“国博厅”“故宫厅”再迎新作，推出《镜里千秋—中国古代铜镜文化展》和《瑞彩熠熠—故宫博物院藏宫廷珐琅器精品展》，深受社会各界广泛关注和喜爱。考古事业发展取得新进展。第四次全国文物普查工作全面启动，截至目前已调查不可移动文物7219处。“考古中国”重大项目加速推进，新疆考古标本库房封顶竣工，成为新疆新的文化地标。龟兹学研究及社会影响力日益增强。克孜尔石窟景区接待人次较往年大幅增加，吸引了俞敏洪、蒙曼等国内知名人士争相打卡。龟兹学国际学术研讨会将于近日在库车市和克孜尔石窟研究所举办，国内外知名专家学者积极报名参与，共话龟兹学。</w:t>
      </w:r>
    </w:p>
    <w:p w14:paraId="24E20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27" w:firstLineChars="200"/>
        <w:jc w:val="left"/>
        <w:textAlignment w:val="auto"/>
        <w:rPr>
          <w:rFonts w:hint="eastAsia" w:ascii="黑体" w:hAnsi="黑体" w:eastAsia="黑体" w:cs="黑体"/>
          <w:b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6"/>
          <w:rFonts w:hint="eastAsia" w:ascii="黑体" w:hAnsi="黑体" w:eastAsia="黑体" w:cs="黑体"/>
          <w:b/>
          <w:bCs w:val="0"/>
          <w:spacing w:val="-4"/>
          <w:sz w:val="32"/>
          <w:szCs w:val="32"/>
          <w:lang w:val="en-US" w:eastAsia="zh-CN"/>
        </w:rPr>
        <w:t>(三)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  <w:t>部门单位整体预算规模及安排情况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val="en-US" w:eastAsia="zh-CN" w:bidi="ar"/>
        </w:rPr>
        <w:t>:</w:t>
      </w:r>
    </w:p>
    <w:p w14:paraId="3074B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2024年新疆维吾尔自治区文博院部门总收入39,797.88万元，包括：一般公共预算财政拨款收入24,228.64万元，政府性基金预算财政拨款收入4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761.10万元，事业收入5,492.95万元，单位其他资金收入361.88万元，年初结转结余4,953.31万元。（其中：2024年年初预算安排15,047.88万元，年中追加19,796.69万元）</w:t>
      </w:r>
    </w:p>
    <w:p w14:paraId="1534F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094" w:leftChars="304" w:hanging="456" w:hangingChars="142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二、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  <w:t>部门单位整体支出管理及使用情况</w:t>
      </w:r>
    </w:p>
    <w:p w14:paraId="6BBAC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2024年总支出35,074.41万元，执行率88.13%，其中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 w14:paraId="65A14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.基本支出6,893.23万元，占总支出的19.65％，主要用于本单位机构正常运转、完成日常工作任务而发生的各项支出。基本支出包含工资福利支出、商品和服务支出、对个人和家庭的补助支出等，其中：工资福利支出主要用于在职和离退休人员基本工资、津贴补贴等人员经费。商品和服务支出主要用于办公费、印刷费、水电费、办公设备购置等。对个人和家庭的补助主要用于离休费、退休费、医疗费补助、奖励金等。资本性支出主要用于办公设备购置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2.项目支出28,181.18万元，占总支出的80.35％。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纳入文博院绩效管理系统的自治区资金项目包括：博物馆免费开放运行本级补助100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万元；自治区博物馆展厅场馆维修维护项目210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万元；自治区博物馆二期建设项目6,780.51万元；自治区博物馆伊朗文物展工作经费342.55万元；临时文物整理场所租赁费75.73万元；克孜尔石窟运行经费595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本年度重点项目支出9,123.06万元，包括：自治区博物馆伊朗文物展工作经费342.55万元；自治区博物馆二期建设项目经费6,780.51万元；2024年配合基本建设考古发掘咨询费2000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3.专项资金使用管理情况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日常经费支出以六项制度为主，中央、自治区相关财经法律法规为补充，制定《自治区文博院财务制度汇编》，各项资金使用过程中严格遵守。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为规范专项资金使用，提高专项资金使用效益，我院项目实施严格按照相关管理办法执行，切实确保专项资金专款专用。文物保护方面：按照国家出台的《国家文物保护专项资金管理办法》，一方面确保职责分工明确，另一方面严格要求项目资金的使用，采取绩效监控、资金执行进度等方式对各项目进行监控，确保项目在管理可控范围内顺利实施。总体来看，文物保护项目资金的整体管理水平较高，做到了专款专用、及时拨付、规范支付，保障文物保护资金支付需求，确保国家文物保护项目顺利实施。博物馆免费开放方面：按照国家和自治区有关法律法规和财政规章制度的要求，出台了《新疆维吾尔自治区博物馆免费开放专项资金管理办法》，一方面要求专项资金坚持专款专用的原则，提高资金使用的合规合法性；另一方面严格要求使用范围，采取绩效监控、资金执行进度的方式对项目进行监控，同时，也接受财政、审计、文化文物部门的监督检查，确保项目在管理可控范围内顺利实施。总体来看，本项目资金的整体管理水平较高，做到了专款专用、及时拨付、规范支付，保障博物馆免费开放资金支付需求，确保博物馆免费开放项目顺利实施。</w:t>
      </w:r>
    </w:p>
    <w:p w14:paraId="0ACA32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094" w:leftChars="304" w:hanging="456" w:hangingChars="142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三、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val="en-US" w:eastAsia="zh-CN" w:bidi="ar"/>
        </w:rPr>
        <w:t>部门单位整体支出绩效分析</w:t>
      </w:r>
    </w:p>
    <w:p w14:paraId="5CCB0D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指标一：</w:t>
      </w:r>
    </w:p>
    <w:p w14:paraId="6BCB4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目标设定情况，年中绩效运行监控情况，本次评价实际完成情况及成效分析，偏差原因分析及下一步措施。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三级指标：举办陈列展览个数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预期指标值为&gt;=8个，实际完成8个，完成率100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（二）指标二：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三级指标：克孜尔石窟壁画科研临摹面积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预期指标值为&gt;=30平方米，实际完成35平方米，完成率100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</w:p>
    <w:p w14:paraId="7F6793C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指标三：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三级指标：全疆配合基本建设考古发掘次数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预期指标值为&gt;=20次，实际完成56次，完成率100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</w:p>
    <w:p w14:paraId="0AD94AD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指标四：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三级指标：文物保护安全事故发生率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预期指标值为&lt;=0.05%，实际完成指标值为0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</w:p>
    <w:p w14:paraId="5086AB4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指标五：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三级指标：参观旅游接待人次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预期指标值为&gt;=35万人次，实际完成75万人次，完成率100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</w:p>
    <w:p w14:paraId="057B4DA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（六）指标六：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一级指标：履职效能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二级指标：数量指标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三级指标：游客满意度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预期指标值为&gt;=90%，实际完成指标值为90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%，完成率100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%、偏差率0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.00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%。</w:t>
      </w:r>
    </w:p>
    <w:p w14:paraId="3DCB6E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094" w:leftChars="304" w:hanging="456" w:hangingChars="142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四、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eastAsia="zh-CN" w:bidi="ar"/>
        </w:rPr>
        <w:t>评价结论</w:t>
      </w:r>
    </w:p>
    <w:p w14:paraId="60200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2024年度部门整体支出绩效自评综合得分98.8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分，评价结果为“优”。</w:t>
      </w:r>
    </w:p>
    <w:p w14:paraId="2B634F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094" w:leftChars="304" w:hanging="456" w:hangingChars="142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五、</w:t>
      </w:r>
      <w:r>
        <w:rPr>
          <w:rFonts w:hint="eastAsia" w:ascii="黑体" w:hAnsi="黑体" w:eastAsia="黑体" w:cs="黑体"/>
          <w:b/>
          <w:bCs w:val="0"/>
          <w:i w:val="0"/>
          <w:caps w:val="0"/>
          <w:color w:val="333333"/>
          <w:spacing w:val="0"/>
          <w:sz w:val="32"/>
          <w:szCs w:val="32"/>
          <w:shd w:val="clear" w:fill="FFFFFF"/>
        </w:rPr>
        <w:t>存在的主要问题及原因分析：</w:t>
      </w:r>
    </w:p>
    <w:p w14:paraId="6BF20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算绩效管理水平仍有欠缺。在2024年预算绩效管理工作中，长期以来形成的“重安排、轻治理”的观念还没有彻底铲除。已制定了相关的绩效管理办法及工作流程，但是在实际执行中仍存在一定困难，随着预算绩效工作的逐步深入，管理制度仍需不断健全，流程也需持续优化。对全面实施预算绩效管理的要求认识还不到位，项目申报、实施等环节与预算绩效管理各个环节联系不够紧密；同时预算绩效管理工作中专业人手不足、绩效管理水平欠缺，后期提升的空间还是很大。</w:t>
      </w:r>
    </w:p>
    <w:p w14:paraId="03F16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094" w:leftChars="304" w:hanging="456" w:hangingChars="142"/>
        <w:textAlignment w:val="auto"/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</w:pPr>
      <w:r>
        <w:rPr>
          <w:rFonts w:hint="default" w:ascii="黑体" w:hAnsi="黑体" w:eastAsia="黑体" w:cs="黑体"/>
          <w:b/>
          <w:bCs w:val="0"/>
          <w:color w:val="333333"/>
          <w:kern w:val="2"/>
          <w:sz w:val="32"/>
          <w:szCs w:val="32"/>
          <w:lang w:val="en-US" w:eastAsia="zh-CN" w:bidi="ar"/>
        </w:rPr>
        <w:t>六、</w:t>
      </w:r>
      <w:r>
        <w:rPr>
          <w:rFonts w:hint="eastAsia" w:ascii="黑体" w:hAnsi="黑体" w:eastAsia="黑体" w:cs="黑体"/>
          <w:b/>
          <w:bCs w:val="0"/>
          <w:color w:val="333333"/>
          <w:sz w:val="32"/>
          <w:szCs w:val="32"/>
          <w:lang w:bidi="ar"/>
        </w:rPr>
        <w:t>改进措施和建议</w:t>
      </w:r>
    </w:p>
    <w:p w14:paraId="2BBFF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jc w:val="both"/>
        <w:textAlignment w:val="auto"/>
        <w:rPr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一是进一步统一思想、提高认识，坚固树立“讲绩效、重绩效、用绩效”、“花钱必问效、无效必问责”的绩效治理理念，完善预算绩效管理制度，不断提高预算绩效管理水平。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二是全面落实“事前绩效评估”制度，持续细化绩效管理实施细则，规范绩效目标管理、过程监控、绩效评价、结果运用和绩效考核等工作程序，实现预算绩效管理全覆盖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三是强化绩效目标审核，对绩效目标编制质量进行严格把关，设置不合理、不科学的绩效目标应当退回，不断修改完善，以确保绩效目标编制的真实性、完整性和科学性。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四是提升内部绩效监控力度，深入分析研究、统筹协调，加快推进项目预算执行进度，确保数据真实可靠、偏差范围可控。进一步增强支出责任和效率意识，全面加强预算治理，优化资源配置，提高财政资金使用绩效和科学精细化治理水平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五是落实项目事前事中事后检查督查，抓重点、明思路、讲方法，着重加强财政支出绩效评价，并逐步扩大评价范围和数量，促进项目支出治理和下年度预算编审工作高质量完成。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六是采取集中学习、讲座、专题会议等方式，开展多形式、多层次的主题培训，加大绩效评价的人员培训力度，提高全体干部对预算绩效管理重要性的认识，提升预算绩效管理能力和水平。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BE590"/>
    <w:multiLevelType w:val="singleLevel"/>
    <w:tmpl w:val="3DDBE59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CC19B24"/>
    <w:multiLevelType w:val="singleLevel"/>
    <w:tmpl w:val="7CC19B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04"/>
    <w:rsid w:val="001C7F2C"/>
    <w:rsid w:val="00340E58"/>
    <w:rsid w:val="003E45AA"/>
    <w:rsid w:val="00584481"/>
    <w:rsid w:val="00653C1A"/>
    <w:rsid w:val="007B51CE"/>
    <w:rsid w:val="007E47F4"/>
    <w:rsid w:val="008F0DCE"/>
    <w:rsid w:val="00916058"/>
    <w:rsid w:val="00AB72C1"/>
    <w:rsid w:val="00C10BB4"/>
    <w:rsid w:val="00CE0C6C"/>
    <w:rsid w:val="00DB647F"/>
    <w:rsid w:val="00DC7E33"/>
    <w:rsid w:val="00E8616A"/>
    <w:rsid w:val="00EB3604"/>
    <w:rsid w:val="0314578A"/>
    <w:rsid w:val="12350D4C"/>
    <w:rsid w:val="1282606E"/>
    <w:rsid w:val="1CB642EA"/>
    <w:rsid w:val="1DFA2D51"/>
    <w:rsid w:val="30851759"/>
    <w:rsid w:val="32017127"/>
    <w:rsid w:val="33467029"/>
    <w:rsid w:val="3439166F"/>
    <w:rsid w:val="376016E5"/>
    <w:rsid w:val="3BA71034"/>
    <w:rsid w:val="582747BE"/>
    <w:rsid w:val="5A551A1D"/>
    <w:rsid w:val="60DA190E"/>
    <w:rsid w:val="632D4CAC"/>
    <w:rsid w:val="6349250B"/>
    <w:rsid w:val="69CC0BD1"/>
    <w:rsid w:val="6D763486"/>
    <w:rsid w:val="7468247B"/>
    <w:rsid w:val="78C95209"/>
    <w:rsid w:val="7D81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3426</Words>
  <Characters>3669</Characters>
  <Lines>2</Lines>
  <Paragraphs>1</Paragraphs>
  <TotalTime>3</TotalTime>
  <ScaleCrop>false</ScaleCrop>
  <LinksUpToDate>false</LinksUpToDate>
  <CharactersWithSpaces>3746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2020-06-04T05:22:00Z</dcterms:created>
  <dc:creator>hongbing liu</dc:creator>
  <cp:lastModifiedBy>221B</cp:lastModifiedBy>
  <dcterms:modified xsi:type="dcterms:W3CDTF">2025-08-20T10:40:56Z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eyJoZGlkIjoiODc4Yzk1M2E5M2IzN2U1MWQ3MjIzMjkxMGE5Y2NjZjQiLCJ1c2VySWQiOiIyNDgzNzQxNTEifQ==</vt:lpwstr>
  </property>
  <property fmtid="{D5CDD505-2E9C-101B-9397-08002B2CF9AE}" pid="4" name="ICV">
    <vt:lpwstr>6A879FD44EC94F7E8097523A156C0FA1_12</vt:lpwstr>
  </property>
</Properties>
</file>