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E8CAC4">
      <w:pPr>
        <w:rPr>
          <w:rFonts w:ascii="黑体" w:hAnsi="黑体" w:eastAsia="黑体"/>
          <w:sz w:val="32"/>
          <w:szCs w:val="32"/>
        </w:rPr>
      </w:pPr>
    </w:p>
    <w:p w14:paraId="00E5A957">
      <w:pPr>
        <w:jc w:val="center"/>
        <w:rPr>
          <w:rFonts w:ascii="方正小标宋_GBK" w:hAnsi="宋体" w:eastAsia="方正小标宋_GBK"/>
          <w:sz w:val="44"/>
          <w:szCs w:val="44"/>
        </w:rPr>
      </w:pPr>
    </w:p>
    <w:p w14:paraId="06288CEB">
      <w:pPr>
        <w:jc w:val="both"/>
        <w:rPr>
          <w:rFonts w:ascii="方正小标宋_GBK" w:hAnsi="宋体" w:eastAsia="方正小标宋_GBK"/>
          <w:sz w:val="44"/>
          <w:szCs w:val="44"/>
        </w:rPr>
      </w:pPr>
    </w:p>
    <w:p w14:paraId="08207D57">
      <w:pPr>
        <w:jc w:val="center"/>
        <w:rPr>
          <w:rFonts w:ascii="方正小标宋_GBK" w:hAnsi="宋体" w:eastAsia="方正小标宋_GBK"/>
          <w:sz w:val="44"/>
          <w:szCs w:val="44"/>
        </w:rPr>
      </w:pPr>
    </w:p>
    <w:p w14:paraId="57CD2055">
      <w:pPr>
        <w:jc w:val="center"/>
        <w:rPr>
          <w:rFonts w:ascii="方正小标宋_GBK" w:hAnsi="宋体" w:eastAsia="方正小标宋_GBK"/>
          <w:sz w:val="44"/>
          <w:szCs w:val="44"/>
        </w:rPr>
      </w:pPr>
      <w:r>
        <w:rPr>
          <w:rFonts w:hint="eastAsia" w:ascii="方正小标宋_GBK" w:hAnsi="宋体" w:eastAsia="方正小标宋_GBK"/>
          <w:sz w:val="44"/>
          <w:szCs w:val="44"/>
        </w:rPr>
        <w:t>新疆维吾尔自治区文化遗产保护中心</w:t>
      </w:r>
      <w:r>
        <w:rPr>
          <w:rFonts w:hint="eastAsia" w:ascii="方正小标宋_GBK" w:hAnsi="宋体" w:eastAsia="方正小标宋_GBK"/>
          <w:sz w:val="44"/>
          <w:szCs w:val="44"/>
        </w:rPr>
        <w:tab/>
      </w:r>
    </w:p>
    <w:p w14:paraId="2731DF09">
      <w:pPr>
        <w:widowControl/>
        <w:spacing w:before="0" w:beforeLines="0" w:beforeAutospacing="0" w:after="0" w:afterLines="0" w:afterAutospacing="0" w:line="240" w:lineRule="auto"/>
        <w:jc w:val="center"/>
        <w:outlineLvl w:val="0"/>
        <w:rPr>
          <w:rFonts w:hint="eastAsia" w:ascii="方正小标宋_GBK" w:hAnsi="宋体" w:eastAsia="方正小标宋_GBK" w:cs="Times New Roman"/>
          <w:sz w:val="44"/>
          <w:szCs w:val="44"/>
          <w:highlight w:val="none"/>
        </w:rPr>
      </w:pPr>
      <w:r>
        <w:rPr>
          <w:rFonts w:hint="eastAsia" w:ascii="方正小标宋_GBK" w:hAnsi="宋体" w:eastAsia="方正小标宋_GBK" w:cs="Times New Roman"/>
          <w:sz w:val="44"/>
          <w:szCs w:val="44"/>
          <w:highlight w:val="none"/>
        </w:rPr>
        <w:t>2024年度部门决算</w:t>
      </w:r>
    </w:p>
    <w:p w14:paraId="75210FC4">
      <w:pPr>
        <w:widowControl/>
        <w:spacing w:before="0" w:beforeLines="0" w:beforeAutospacing="0" w:after="0" w:afterLines="0" w:afterAutospacing="0" w:line="240" w:lineRule="auto"/>
        <w:jc w:val="center"/>
        <w:outlineLvl w:val="0"/>
        <w:rPr>
          <w:rFonts w:ascii="黑体" w:eastAsia="黑体"/>
          <w:sz w:val="44"/>
          <w:szCs w:val="44"/>
        </w:rPr>
      </w:pPr>
      <w:r>
        <w:rPr>
          <w:rFonts w:hint="eastAsia" w:ascii="方正小标宋_GBK" w:hAnsi="宋体" w:eastAsia="方正小标宋_GBK" w:cs="Times New Roman"/>
          <w:sz w:val="44"/>
          <w:szCs w:val="44"/>
          <w:highlight w:val="none"/>
        </w:rPr>
        <w:t>公开说明</w:t>
      </w:r>
    </w:p>
    <w:p w14:paraId="7936EC89">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14:paraId="77AEFEE0">
      <w:pPr>
        <w:pStyle w:val="6"/>
        <w:tabs>
          <w:tab w:val="right" w:leader="dot" w:pos="8306"/>
        </w:tabs>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"_Toc31918"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752ADE8A">
      <w:pPr>
        <w:pStyle w:val="7"/>
        <w:tabs>
          <w:tab w:val="right" w:leader="dot" w:pos="8306"/>
        </w:tabs>
        <w:ind w:left="0" w:leftChars="0"/>
        <w:rPr>
          <w:rFonts w:ascii="仿宋_GB2312" w:hAnsi="仿宋_GB2312" w:eastAsia="仿宋_GB2312" w:cs="仿宋_GB2312"/>
          <w:sz w:val="32"/>
          <w:szCs w:val="32"/>
        </w:rPr>
      </w:pPr>
      <w:r>
        <w:fldChar w:fldCharType="begin"/>
      </w:r>
      <w:r>
        <w:instrText xml:space="preserve"> HYPERLINK \l "_Toc2898"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359BFB75">
      <w:pPr>
        <w:pStyle w:val="7"/>
        <w:tabs>
          <w:tab w:val="right" w:leader="dot" w:pos="8306"/>
        </w:tabs>
        <w:ind w:left="0" w:leftChars="0"/>
        <w:rPr>
          <w:rFonts w:ascii="仿宋_GB2312" w:hAnsi="仿宋_GB2312" w:eastAsia="仿宋_GB2312" w:cs="仿宋_GB2312"/>
          <w:sz w:val="32"/>
          <w:szCs w:val="32"/>
        </w:rPr>
      </w:pPr>
      <w:r>
        <w:fldChar w:fldCharType="begin"/>
      </w:r>
      <w:r>
        <w:instrText xml:space="preserve"> HYPERLINK \l "_Toc1387"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1ED7BA2D">
      <w:pPr>
        <w:pStyle w:val="6"/>
        <w:tabs>
          <w:tab w:val="right" w:leader="dot" w:pos="8306"/>
        </w:tabs>
        <w:rPr>
          <w:rFonts w:ascii="仿宋_GB2312" w:hAnsi="仿宋_GB2312" w:eastAsia="仿宋_GB2312" w:cs="仿宋_GB2312"/>
          <w:b/>
          <w:bCs/>
          <w:sz w:val="32"/>
          <w:szCs w:val="32"/>
        </w:rPr>
      </w:pPr>
      <w:r>
        <w:fldChar w:fldCharType="begin"/>
      </w:r>
      <w:r>
        <w:instrText xml:space="preserve"> HYPERLINK \l "_Toc7559"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7C5E105A">
      <w:pPr>
        <w:pStyle w:val="7"/>
        <w:tabs>
          <w:tab w:val="right" w:leader="dot" w:pos="8306"/>
        </w:tabs>
        <w:ind w:left="0" w:leftChars="0"/>
        <w:rPr>
          <w:rFonts w:ascii="仿宋_GB2312" w:hAnsi="仿宋_GB2312" w:eastAsia="仿宋_GB2312" w:cs="仿宋_GB2312"/>
          <w:sz w:val="32"/>
          <w:szCs w:val="32"/>
        </w:rPr>
      </w:pPr>
      <w:r>
        <w:fldChar w:fldCharType="begin"/>
      </w:r>
      <w:r>
        <w:instrText xml:space="preserve"> HYPERLINK \l "_Toc6321"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0D556E22">
      <w:pPr>
        <w:pStyle w:val="7"/>
        <w:tabs>
          <w:tab w:val="right" w:leader="dot" w:pos="8306"/>
        </w:tabs>
        <w:ind w:left="0" w:leftChars="0"/>
        <w:rPr>
          <w:rFonts w:ascii="仿宋_GB2312" w:hAnsi="仿宋_GB2312" w:eastAsia="仿宋_GB2312" w:cs="仿宋_GB2312"/>
          <w:sz w:val="32"/>
          <w:szCs w:val="32"/>
        </w:rPr>
      </w:pPr>
      <w:r>
        <w:fldChar w:fldCharType="begin"/>
      </w:r>
      <w:r>
        <w:instrText xml:space="preserve"> HYPERLINK \l "_Toc6311"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5DFE6246">
      <w:pPr>
        <w:pStyle w:val="7"/>
        <w:tabs>
          <w:tab w:val="right" w:leader="dot" w:pos="8306"/>
        </w:tabs>
        <w:ind w:left="0" w:leftChars="0"/>
        <w:rPr>
          <w:rFonts w:ascii="仿宋_GB2312" w:hAnsi="仿宋_GB2312" w:eastAsia="仿宋_GB2312" w:cs="仿宋_GB2312"/>
          <w:sz w:val="32"/>
          <w:szCs w:val="32"/>
        </w:rPr>
      </w:pPr>
      <w:r>
        <w:fldChar w:fldCharType="begin"/>
      </w:r>
      <w:r>
        <w:instrText xml:space="preserve"> HYPERLINK \l "_Toc20629"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20B0F739">
      <w:pPr>
        <w:pStyle w:val="7"/>
        <w:tabs>
          <w:tab w:val="right" w:leader="dot" w:pos="8306"/>
        </w:tabs>
        <w:ind w:left="0" w:leftChars="0"/>
        <w:rPr>
          <w:rFonts w:ascii="仿宋_GB2312" w:hAnsi="仿宋_GB2312" w:eastAsia="仿宋_GB2312" w:cs="仿宋_GB2312"/>
          <w:sz w:val="32"/>
          <w:szCs w:val="32"/>
        </w:rPr>
      </w:pPr>
      <w:r>
        <w:fldChar w:fldCharType="begin"/>
      </w:r>
      <w:r>
        <w:instrText xml:space="preserve"> HYPERLINK \l "_Toc7371"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2DA2B95D">
      <w:pPr>
        <w:pStyle w:val="7"/>
        <w:tabs>
          <w:tab w:val="right" w:leader="dot" w:pos="8306"/>
        </w:tabs>
        <w:ind w:left="0" w:leftChars="0"/>
        <w:rPr>
          <w:rFonts w:ascii="仿宋_GB2312" w:hAnsi="仿宋_GB2312" w:eastAsia="仿宋_GB2312" w:cs="仿宋_GB2312"/>
          <w:sz w:val="32"/>
          <w:szCs w:val="32"/>
        </w:rPr>
      </w:pPr>
      <w:r>
        <w:fldChar w:fldCharType="begin"/>
      </w:r>
      <w:r>
        <w:instrText xml:space="preserve"> HYPERLINK \l "_Toc18905"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1119D7D7">
      <w:pPr>
        <w:pStyle w:val="3"/>
        <w:tabs>
          <w:tab w:val="right" w:leader="dot" w:pos="8306"/>
        </w:tabs>
        <w:ind w:left="0" w:leftChars="0"/>
        <w:rPr>
          <w:rFonts w:ascii="仿宋_GB2312" w:hAnsi="仿宋_GB2312" w:eastAsia="仿宋_GB2312" w:cs="仿宋_GB2312"/>
          <w:sz w:val="32"/>
          <w:szCs w:val="32"/>
        </w:rPr>
      </w:pPr>
      <w:r>
        <w:fldChar w:fldCharType="begin"/>
      </w:r>
      <w:r>
        <w:instrText xml:space="preserve"> HYPERLINK \l "_Toc1165" </w:instrText>
      </w:r>
      <w:r>
        <w:fldChar w:fldCharType="separate"/>
      </w:r>
      <w:r>
        <w:rPr>
          <w:rFonts w:hint="eastAsia" w:ascii="仿宋_GB2312" w:hAnsi="仿宋_GB2312" w:eastAsia="仿宋_GB2312" w:cs="仿宋_GB2312"/>
          <w:sz w:val="32"/>
          <w:szCs w:val="32"/>
        </w:rPr>
        <w:t>（一）一般公共预算财政拨款支出决算总体情况</w:t>
      </w:r>
      <w:r>
        <w:rPr>
          <w:rFonts w:hint="eastAsia" w:ascii="仿宋_GB2312" w:hAnsi="仿宋_GB2312" w:eastAsia="仿宋_GB2312" w:cs="仿宋_GB2312"/>
          <w:sz w:val="32"/>
          <w:szCs w:val="32"/>
        </w:rPr>
        <w:fldChar w:fldCharType="end"/>
      </w:r>
    </w:p>
    <w:p w14:paraId="5A53FCC5">
      <w:pPr>
        <w:pStyle w:val="3"/>
        <w:tabs>
          <w:tab w:val="right" w:leader="dot" w:pos="8306"/>
        </w:tabs>
        <w:ind w:left="0" w:leftChars="0"/>
        <w:rPr>
          <w:rFonts w:ascii="仿宋_GB2312" w:hAnsi="仿宋_GB2312" w:eastAsia="仿宋_GB2312" w:cs="仿宋_GB2312"/>
          <w:sz w:val="32"/>
          <w:szCs w:val="32"/>
        </w:rPr>
      </w:pPr>
      <w:r>
        <w:fldChar w:fldCharType="begin"/>
      </w:r>
      <w:r>
        <w:instrText xml:space="preserve"> HYPERLINK \l "_Toc27147" </w:instrText>
      </w:r>
      <w:r>
        <w:fldChar w:fldCharType="separate"/>
      </w:r>
      <w:r>
        <w:rPr>
          <w:rFonts w:hint="eastAsia" w:ascii="仿宋_GB2312" w:hAnsi="仿宋_GB2312" w:eastAsia="仿宋_GB2312" w:cs="仿宋_GB2312"/>
          <w:sz w:val="32"/>
          <w:szCs w:val="32"/>
        </w:rPr>
        <w:t>（二）一般公共预算财政拨款支出决算结构情况</w:t>
      </w:r>
      <w:r>
        <w:rPr>
          <w:rFonts w:hint="eastAsia" w:ascii="仿宋_GB2312" w:hAnsi="仿宋_GB2312" w:eastAsia="仿宋_GB2312" w:cs="仿宋_GB2312"/>
          <w:sz w:val="32"/>
          <w:szCs w:val="32"/>
        </w:rPr>
        <w:fldChar w:fldCharType="end"/>
      </w:r>
    </w:p>
    <w:p w14:paraId="5C8A25CF">
      <w:pPr>
        <w:pStyle w:val="3"/>
        <w:tabs>
          <w:tab w:val="right" w:leader="dot" w:pos="8306"/>
        </w:tabs>
        <w:ind w:left="0" w:leftChars="0"/>
        <w:rPr>
          <w:rFonts w:ascii="仿宋_GB2312" w:hAnsi="仿宋_GB2312" w:eastAsia="仿宋_GB2312" w:cs="仿宋_GB2312"/>
          <w:sz w:val="32"/>
          <w:szCs w:val="32"/>
        </w:rPr>
      </w:pPr>
      <w:r>
        <w:fldChar w:fldCharType="begin"/>
      </w:r>
      <w:r>
        <w:instrText xml:space="preserve"> HYPERLINK \l "_Toc10037" </w:instrText>
      </w:r>
      <w:r>
        <w:fldChar w:fldCharType="separate"/>
      </w:r>
      <w:r>
        <w:rPr>
          <w:rFonts w:hint="eastAsia" w:ascii="仿宋_GB2312" w:hAnsi="仿宋_GB2312" w:eastAsia="仿宋_GB2312" w:cs="仿宋_GB2312"/>
          <w:sz w:val="32"/>
          <w:szCs w:val="32"/>
        </w:rPr>
        <w:t>（三）一般公共预算财政拨款支出决算具体情况</w:t>
      </w:r>
      <w:r>
        <w:rPr>
          <w:rFonts w:hint="eastAsia" w:ascii="仿宋_GB2312" w:hAnsi="仿宋_GB2312" w:eastAsia="仿宋_GB2312" w:cs="仿宋_GB2312"/>
          <w:sz w:val="32"/>
          <w:szCs w:val="32"/>
        </w:rPr>
        <w:fldChar w:fldCharType="end"/>
      </w:r>
    </w:p>
    <w:p w14:paraId="59932DEB">
      <w:pPr>
        <w:pStyle w:val="7"/>
        <w:tabs>
          <w:tab w:val="right" w:leader="dot" w:pos="8306"/>
        </w:tabs>
        <w:ind w:left="0" w:leftChars="0"/>
        <w:rPr>
          <w:rFonts w:ascii="仿宋_GB2312" w:hAnsi="仿宋_GB2312" w:eastAsia="仿宋_GB2312" w:cs="仿宋_GB2312"/>
          <w:sz w:val="32"/>
          <w:szCs w:val="32"/>
        </w:rPr>
      </w:pPr>
      <w:r>
        <w:fldChar w:fldCharType="begin"/>
      </w:r>
      <w:r>
        <w:instrText xml:space="preserve"> HYPERLINK \l "_Toc23415"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37E7E8F7">
      <w:pPr>
        <w:pStyle w:val="7"/>
        <w:tabs>
          <w:tab w:val="right" w:leader="dot" w:pos="8306"/>
        </w:tabs>
        <w:ind w:left="0" w:leftChars="0"/>
        <w:rPr>
          <w:rFonts w:ascii="仿宋_GB2312" w:hAnsi="仿宋_GB2312" w:eastAsia="仿宋_GB2312" w:cs="仿宋_GB2312"/>
          <w:sz w:val="32"/>
          <w:szCs w:val="32"/>
        </w:rPr>
      </w:pPr>
      <w:r>
        <w:fldChar w:fldCharType="begin"/>
      </w:r>
      <w:r>
        <w:instrText xml:space="preserve"> HYPERLINK \l "_Toc7523" </w:instrText>
      </w:r>
      <w:r>
        <w:fldChar w:fldCharType="separate"/>
      </w:r>
      <w:r>
        <w:rPr>
          <w:rFonts w:hint="eastAsia" w:ascii="仿宋_GB2312" w:hAnsi="仿宋_GB2312" w:eastAsia="仿宋_GB2312" w:cs="仿宋_GB2312"/>
          <w:bCs/>
          <w:kern w:val="0"/>
          <w:sz w:val="32"/>
          <w:szCs w:val="32"/>
        </w:rPr>
        <w:t>七、政府性基金预算财政拨款收入支出决算情况说明</w:t>
      </w:r>
      <w:r>
        <w:rPr>
          <w:rFonts w:hint="eastAsia" w:ascii="仿宋_GB2312" w:hAnsi="仿宋_GB2312" w:eastAsia="仿宋_GB2312" w:cs="仿宋_GB2312"/>
          <w:bCs/>
          <w:kern w:val="0"/>
          <w:sz w:val="32"/>
          <w:szCs w:val="32"/>
        </w:rPr>
        <w:fldChar w:fldCharType="end"/>
      </w:r>
    </w:p>
    <w:p w14:paraId="172BEB15">
      <w:pPr>
        <w:pStyle w:val="7"/>
        <w:tabs>
          <w:tab w:val="right" w:leader="dot" w:pos="8306"/>
        </w:tabs>
        <w:ind w:left="0" w:leftChars="0"/>
        <w:rPr>
          <w:rFonts w:ascii="仿宋_GB2312" w:hAnsi="仿宋_GB2312" w:eastAsia="仿宋_GB2312" w:cs="仿宋_GB2312"/>
          <w:sz w:val="32"/>
          <w:szCs w:val="32"/>
        </w:rPr>
      </w:pPr>
      <w:r>
        <w:fldChar w:fldCharType="begin"/>
      </w:r>
      <w:r>
        <w:instrText xml:space="preserve"> HYPERLINK \l "_Toc5563" </w:instrText>
      </w:r>
      <w:r>
        <w:fldChar w:fldCharType="separate"/>
      </w:r>
      <w:r>
        <w:rPr>
          <w:rFonts w:hint="eastAsia" w:ascii="仿宋_GB2312" w:hAnsi="仿宋_GB2312" w:eastAsia="仿宋_GB2312" w:cs="仿宋_GB2312"/>
          <w:bCs/>
          <w:kern w:val="0"/>
          <w:sz w:val="32"/>
          <w:szCs w:val="32"/>
        </w:rPr>
        <w:t>八、国有资本经营预算财政拨款收入支出决算情况说明</w:t>
      </w:r>
      <w:r>
        <w:rPr>
          <w:rFonts w:hint="eastAsia" w:ascii="仿宋_GB2312" w:hAnsi="仿宋_GB2312" w:eastAsia="仿宋_GB2312" w:cs="仿宋_GB2312"/>
          <w:bCs/>
          <w:kern w:val="0"/>
          <w:sz w:val="32"/>
          <w:szCs w:val="32"/>
        </w:rPr>
        <w:fldChar w:fldCharType="end"/>
      </w:r>
    </w:p>
    <w:p w14:paraId="3DE8B4B8">
      <w:pPr>
        <w:pStyle w:val="7"/>
        <w:tabs>
          <w:tab w:val="right" w:leader="dot" w:pos="8306"/>
        </w:tabs>
        <w:ind w:left="0" w:leftChars="0"/>
        <w:rPr>
          <w:rFonts w:ascii="仿宋_GB2312" w:hAnsi="仿宋_GB2312" w:eastAsia="仿宋_GB2312" w:cs="仿宋_GB2312"/>
          <w:sz w:val="32"/>
          <w:szCs w:val="32"/>
        </w:rPr>
      </w:pPr>
      <w:r>
        <w:fldChar w:fldCharType="begin"/>
      </w:r>
      <w:r>
        <w:instrText xml:space="preserve"> HYPERLINK \l "_Toc9161" </w:instrText>
      </w:r>
      <w:r>
        <w:fldChar w:fldCharType="separate"/>
      </w:r>
      <w:r>
        <w:rPr>
          <w:rFonts w:hint="eastAsia" w:ascii="仿宋_GB2312" w:hAnsi="仿宋_GB2312" w:eastAsia="仿宋_GB2312" w:cs="仿宋_GB2312"/>
          <w:bCs/>
          <w:kern w:val="0"/>
          <w:sz w:val="32"/>
          <w:szCs w:val="32"/>
        </w:rPr>
        <w:t>九、财政拨款“三公”经费支出决算情况说明</w:t>
      </w:r>
      <w:r>
        <w:rPr>
          <w:rFonts w:hint="eastAsia" w:ascii="仿宋_GB2312" w:hAnsi="仿宋_GB2312" w:eastAsia="仿宋_GB2312" w:cs="仿宋_GB2312"/>
          <w:bCs/>
          <w:kern w:val="0"/>
          <w:sz w:val="32"/>
          <w:szCs w:val="32"/>
        </w:rPr>
        <w:fldChar w:fldCharType="end"/>
      </w:r>
    </w:p>
    <w:p w14:paraId="72009186">
      <w:pPr>
        <w:pStyle w:val="7"/>
        <w:tabs>
          <w:tab w:val="right" w:leader="dot" w:pos="8306"/>
        </w:tabs>
        <w:ind w:left="0" w:leftChars="0"/>
        <w:rPr>
          <w:rFonts w:ascii="仿宋_GB2312" w:hAnsi="仿宋_GB2312" w:eastAsia="仿宋_GB2312" w:cs="仿宋_GB2312"/>
          <w:sz w:val="32"/>
          <w:szCs w:val="32"/>
        </w:rPr>
      </w:pPr>
      <w:r>
        <w:fldChar w:fldCharType="begin"/>
      </w:r>
      <w:r>
        <w:instrText xml:space="preserve"> HYPERLINK \l "_Toc16395" </w:instrText>
      </w:r>
      <w:r>
        <w:fldChar w:fldCharType="separate"/>
      </w:r>
      <w:r>
        <w:rPr>
          <w:rFonts w:hint="eastAsia" w:ascii="仿宋_GB2312" w:hAnsi="仿宋_GB2312" w:eastAsia="仿宋_GB2312" w:cs="仿宋_GB2312"/>
          <w:bCs/>
          <w:kern w:val="0"/>
          <w:sz w:val="32"/>
          <w:szCs w:val="32"/>
        </w:rPr>
        <w:t>十、其他重要事项的情况说明</w:t>
      </w:r>
      <w:r>
        <w:rPr>
          <w:rFonts w:hint="eastAsia" w:ascii="仿宋_GB2312" w:hAnsi="仿宋_GB2312" w:eastAsia="仿宋_GB2312" w:cs="仿宋_GB2312"/>
          <w:bCs/>
          <w:kern w:val="0"/>
          <w:sz w:val="32"/>
          <w:szCs w:val="32"/>
        </w:rPr>
        <w:fldChar w:fldCharType="end"/>
      </w:r>
    </w:p>
    <w:p w14:paraId="1E3AA8CE">
      <w:pPr>
        <w:pStyle w:val="3"/>
        <w:tabs>
          <w:tab w:val="right" w:leader="dot" w:pos="8306"/>
        </w:tabs>
        <w:ind w:left="0" w:leftChars="0"/>
        <w:rPr>
          <w:rFonts w:ascii="仿宋_GB2312" w:hAnsi="仿宋_GB2312" w:eastAsia="仿宋_GB2312" w:cs="仿宋_GB2312"/>
          <w:sz w:val="32"/>
          <w:szCs w:val="32"/>
        </w:rPr>
      </w:pPr>
      <w:r>
        <w:fldChar w:fldCharType="begin"/>
      </w:r>
      <w:r>
        <w:instrText xml:space="preserve"> HYPERLINK \l "_Toc21748" </w:instrText>
      </w:r>
      <w:r>
        <w:fldChar w:fldCharType="separate"/>
      </w:r>
      <w:r>
        <w:rPr>
          <w:rFonts w:hint="eastAsia" w:ascii="仿宋_GB2312" w:hAnsi="仿宋_GB2312" w:eastAsia="仿宋_GB2312" w:cs="仿宋_GB2312"/>
          <w:sz w:val="32"/>
          <w:szCs w:val="32"/>
        </w:rPr>
        <w:t>（一）机关运行经费及公用经费支出情况</w:t>
      </w:r>
      <w:r>
        <w:rPr>
          <w:rFonts w:hint="eastAsia" w:ascii="仿宋_GB2312" w:hAnsi="仿宋_GB2312" w:eastAsia="仿宋_GB2312" w:cs="仿宋_GB2312"/>
          <w:sz w:val="32"/>
          <w:szCs w:val="32"/>
        </w:rPr>
        <w:fldChar w:fldCharType="end"/>
      </w:r>
    </w:p>
    <w:p w14:paraId="347CEE52">
      <w:pPr>
        <w:pStyle w:val="3"/>
        <w:tabs>
          <w:tab w:val="right" w:leader="dot" w:pos="8306"/>
        </w:tabs>
        <w:ind w:left="0" w:leftChars="0"/>
        <w:rPr>
          <w:rFonts w:ascii="仿宋_GB2312" w:hAnsi="仿宋_GB2312" w:eastAsia="仿宋_GB2312" w:cs="仿宋_GB2312"/>
          <w:sz w:val="32"/>
          <w:szCs w:val="32"/>
        </w:rPr>
      </w:pPr>
      <w:r>
        <w:fldChar w:fldCharType="begin"/>
      </w:r>
      <w:r>
        <w:instrText xml:space="preserve"> HYPERLINK \l "_Toc25177"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572B7F41">
      <w:pPr>
        <w:pStyle w:val="3"/>
        <w:tabs>
          <w:tab w:val="right" w:leader="dot" w:pos="8306"/>
        </w:tabs>
        <w:ind w:left="0" w:leftChars="0"/>
        <w:rPr>
          <w:rFonts w:ascii="仿宋_GB2312" w:hAnsi="仿宋_GB2312" w:eastAsia="仿宋_GB2312" w:cs="仿宋_GB2312"/>
          <w:sz w:val="32"/>
          <w:szCs w:val="32"/>
        </w:rPr>
      </w:pPr>
      <w:r>
        <w:fldChar w:fldCharType="begin"/>
      </w:r>
      <w:r>
        <w:instrText xml:space="preserve"> HYPERLINK \l "_Toc31294"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19CC315C">
      <w:pPr>
        <w:pStyle w:val="7"/>
        <w:tabs>
          <w:tab w:val="right" w:leader="dot" w:pos="8306"/>
        </w:tabs>
        <w:ind w:left="0" w:leftChars="0"/>
        <w:rPr>
          <w:rFonts w:ascii="仿宋_GB2312" w:hAnsi="仿宋_GB2312" w:eastAsia="仿宋_GB2312" w:cs="仿宋_GB2312"/>
          <w:sz w:val="32"/>
          <w:szCs w:val="32"/>
        </w:rPr>
      </w:pPr>
      <w:r>
        <w:fldChar w:fldCharType="begin"/>
      </w:r>
      <w:r>
        <w:instrText xml:space="preserve"> HYPERLINK \l "_Toc17664"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5D048279">
      <w:pPr>
        <w:pStyle w:val="6"/>
        <w:tabs>
          <w:tab w:val="right" w:leader="dot" w:pos="8306"/>
        </w:tabs>
        <w:rPr>
          <w:rFonts w:ascii="仿宋_GB2312" w:hAnsi="仿宋_GB2312" w:eastAsia="仿宋_GB2312" w:cs="仿宋_GB2312"/>
          <w:b/>
          <w:bCs/>
          <w:sz w:val="32"/>
          <w:szCs w:val="32"/>
        </w:rPr>
      </w:pPr>
      <w:r>
        <w:fldChar w:fldCharType="begin"/>
      </w:r>
      <w:r>
        <w:instrText xml:space="preserve"> HYPERLINK \l "_Toc30038"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69118AD9">
      <w:pPr>
        <w:pStyle w:val="6"/>
        <w:tabs>
          <w:tab w:val="right" w:leader="dot" w:pos="8306"/>
        </w:tabs>
        <w:rPr>
          <w:rFonts w:ascii="仿宋_GB2312" w:hAnsi="仿宋_GB2312" w:eastAsia="仿宋_GB2312" w:cs="仿宋_GB2312"/>
          <w:b/>
          <w:bCs/>
          <w:sz w:val="32"/>
          <w:szCs w:val="32"/>
        </w:rPr>
      </w:pPr>
      <w:r>
        <w:fldChar w:fldCharType="begin"/>
      </w:r>
      <w:r>
        <w:instrText xml:space="preserve"> HYPERLINK \l "_Toc6831"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140416B4">
      <w:pPr>
        <w:pStyle w:val="7"/>
        <w:tabs>
          <w:tab w:val="right" w:leader="dot" w:pos="8306"/>
        </w:tabs>
        <w:ind w:left="0" w:leftChars="0"/>
        <w:rPr>
          <w:rFonts w:ascii="仿宋_GB2312" w:hAnsi="仿宋_GB2312" w:eastAsia="仿宋_GB2312" w:cs="仿宋_GB2312"/>
          <w:sz w:val="32"/>
          <w:szCs w:val="32"/>
        </w:rPr>
      </w:pPr>
      <w:r>
        <w:fldChar w:fldCharType="begin"/>
      </w:r>
      <w:r>
        <w:instrText xml:space="preserve"> HYPERLINK \l "_Toc3845"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6F666A63">
      <w:pPr>
        <w:pStyle w:val="7"/>
        <w:tabs>
          <w:tab w:val="right" w:leader="dot" w:pos="8306"/>
        </w:tabs>
        <w:ind w:left="0" w:leftChars="0"/>
        <w:rPr>
          <w:rFonts w:ascii="仿宋_GB2312" w:hAnsi="仿宋_GB2312" w:eastAsia="仿宋_GB2312" w:cs="仿宋_GB2312"/>
          <w:sz w:val="32"/>
          <w:szCs w:val="32"/>
        </w:rPr>
      </w:pPr>
      <w:r>
        <w:fldChar w:fldCharType="begin"/>
      </w:r>
      <w:r>
        <w:instrText xml:space="preserve"> HYPERLINK \l "_Toc11927"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20AFCB41">
      <w:pPr>
        <w:pStyle w:val="7"/>
        <w:tabs>
          <w:tab w:val="right" w:leader="dot" w:pos="8306"/>
        </w:tabs>
        <w:ind w:left="0" w:leftChars="0"/>
        <w:rPr>
          <w:rFonts w:ascii="仿宋_GB2312" w:hAnsi="仿宋_GB2312" w:eastAsia="仿宋_GB2312" w:cs="仿宋_GB2312"/>
          <w:sz w:val="32"/>
          <w:szCs w:val="32"/>
        </w:rPr>
      </w:pPr>
      <w:r>
        <w:fldChar w:fldCharType="begin"/>
      </w:r>
      <w:r>
        <w:instrText xml:space="preserve"> HYPERLINK \l "_Toc7443"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20D51554">
      <w:pPr>
        <w:pStyle w:val="7"/>
        <w:tabs>
          <w:tab w:val="right" w:leader="dot" w:pos="8306"/>
        </w:tabs>
        <w:ind w:left="0" w:leftChars="0"/>
        <w:rPr>
          <w:rFonts w:ascii="仿宋_GB2312" w:hAnsi="仿宋_GB2312" w:eastAsia="仿宋_GB2312" w:cs="仿宋_GB2312"/>
          <w:sz w:val="32"/>
          <w:szCs w:val="32"/>
        </w:rPr>
      </w:pPr>
      <w:r>
        <w:fldChar w:fldCharType="begin"/>
      </w:r>
      <w:r>
        <w:instrText xml:space="preserve"> HYPERLINK \l "_Toc24884"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189B31BF">
      <w:pPr>
        <w:pStyle w:val="7"/>
        <w:tabs>
          <w:tab w:val="right" w:leader="dot" w:pos="8306"/>
        </w:tabs>
        <w:ind w:left="0" w:leftChars="0"/>
        <w:rPr>
          <w:rFonts w:ascii="仿宋_GB2312" w:hAnsi="仿宋_GB2312" w:eastAsia="仿宋_GB2312" w:cs="仿宋_GB2312"/>
          <w:sz w:val="32"/>
          <w:szCs w:val="32"/>
        </w:rPr>
      </w:pPr>
      <w:r>
        <w:fldChar w:fldCharType="begin"/>
      </w:r>
      <w:r>
        <w:instrText xml:space="preserve"> HYPERLINK \l "_Toc16518"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68F72C91">
      <w:pPr>
        <w:pStyle w:val="7"/>
        <w:tabs>
          <w:tab w:val="right" w:leader="dot" w:pos="8306"/>
        </w:tabs>
        <w:ind w:left="0" w:leftChars="0"/>
        <w:rPr>
          <w:rFonts w:ascii="仿宋_GB2312" w:hAnsi="仿宋_GB2312" w:eastAsia="仿宋_GB2312" w:cs="仿宋_GB2312"/>
          <w:sz w:val="32"/>
          <w:szCs w:val="32"/>
        </w:rPr>
      </w:pPr>
      <w:r>
        <w:fldChar w:fldCharType="begin"/>
      </w:r>
      <w:r>
        <w:instrText xml:space="preserve"> HYPERLINK \l "_Toc20514"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5B9379C7">
      <w:pPr>
        <w:pStyle w:val="7"/>
        <w:tabs>
          <w:tab w:val="right" w:leader="dot" w:pos="8306"/>
        </w:tabs>
        <w:ind w:left="0" w:leftChars="0"/>
        <w:rPr>
          <w:rFonts w:ascii="仿宋_GB2312" w:hAnsi="仿宋_GB2312" w:eastAsia="仿宋_GB2312" w:cs="仿宋_GB2312"/>
          <w:sz w:val="32"/>
          <w:szCs w:val="32"/>
        </w:rPr>
      </w:pPr>
      <w:r>
        <w:fldChar w:fldCharType="begin"/>
      </w:r>
      <w:r>
        <w:instrText xml:space="preserve"> HYPERLINK \l "_Toc18055" </w:instrText>
      </w:r>
      <w:r>
        <w:fldChar w:fldCharType="separate"/>
      </w:r>
      <w:r>
        <w:rPr>
          <w:rFonts w:hint="eastAsia" w:ascii="仿宋_GB2312" w:hAnsi="仿宋_GB2312" w:eastAsia="仿宋_GB2312" w:cs="仿宋_GB2312"/>
          <w:bCs/>
          <w:kern w:val="0"/>
          <w:sz w:val="32"/>
          <w:szCs w:val="32"/>
        </w:rPr>
        <w:t>七、《政府性基金预算财政拨款收入支出决算表》</w:t>
      </w:r>
      <w:r>
        <w:rPr>
          <w:rFonts w:hint="eastAsia" w:ascii="仿宋_GB2312" w:hAnsi="仿宋_GB2312" w:eastAsia="仿宋_GB2312" w:cs="仿宋_GB2312"/>
          <w:bCs/>
          <w:kern w:val="0"/>
          <w:sz w:val="32"/>
          <w:szCs w:val="32"/>
        </w:rPr>
        <w:fldChar w:fldCharType="end"/>
      </w:r>
    </w:p>
    <w:p w14:paraId="1DE06A8F">
      <w:pPr>
        <w:pStyle w:val="7"/>
        <w:tabs>
          <w:tab w:val="right" w:leader="dot" w:pos="8306"/>
        </w:tabs>
        <w:ind w:left="0" w:leftChars="0"/>
        <w:rPr>
          <w:rFonts w:ascii="仿宋_GB2312" w:hAnsi="仿宋_GB2312" w:eastAsia="仿宋_GB2312" w:cs="仿宋_GB2312"/>
          <w:sz w:val="32"/>
          <w:szCs w:val="32"/>
        </w:rPr>
      </w:pPr>
      <w:r>
        <w:fldChar w:fldCharType="begin"/>
      </w:r>
      <w:r>
        <w:instrText xml:space="preserve"> HYPERLINK \l "_Toc10719" </w:instrText>
      </w:r>
      <w:r>
        <w:fldChar w:fldCharType="separate"/>
      </w:r>
      <w:r>
        <w:rPr>
          <w:rFonts w:hint="eastAsia" w:ascii="仿宋_GB2312" w:hAnsi="仿宋_GB2312" w:eastAsia="仿宋_GB2312" w:cs="仿宋_GB2312"/>
          <w:bCs/>
          <w:kern w:val="0"/>
          <w:sz w:val="32"/>
          <w:szCs w:val="32"/>
        </w:rPr>
        <w:t>八、《国有资本经营预算财政拨款收入支出决算表》</w:t>
      </w:r>
      <w:r>
        <w:rPr>
          <w:rFonts w:hint="eastAsia" w:ascii="仿宋_GB2312" w:hAnsi="仿宋_GB2312" w:eastAsia="仿宋_GB2312" w:cs="仿宋_GB2312"/>
          <w:bCs/>
          <w:kern w:val="0"/>
          <w:sz w:val="32"/>
          <w:szCs w:val="32"/>
        </w:rPr>
        <w:fldChar w:fldCharType="end"/>
      </w:r>
    </w:p>
    <w:p w14:paraId="516E3DF9">
      <w:pPr>
        <w:pStyle w:val="7"/>
        <w:tabs>
          <w:tab w:val="right" w:leader="dot" w:pos="8306"/>
        </w:tabs>
        <w:ind w:left="0" w:leftChars="0"/>
        <w:rPr>
          <w:rFonts w:ascii="仿宋_GB2312" w:hAnsi="仿宋_GB2312" w:eastAsia="仿宋_GB2312" w:cs="仿宋_GB2312"/>
          <w:sz w:val="32"/>
          <w:szCs w:val="32"/>
        </w:rPr>
      </w:pPr>
      <w:r>
        <w:fldChar w:fldCharType="begin"/>
      </w:r>
      <w:r>
        <w:instrText xml:space="preserve"> HYPERLINK \l "_Toc18861" </w:instrText>
      </w:r>
      <w:r>
        <w:fldChar w:fldCharType="separate"/>
      </w:r>
      <w:r>
        <w:rPr>
          <w:rFonts w:hint="eastAsia" w:ascii="仿宋_GB2312" w:hAnsi="仿宋_GB2312" w:eastAsia="仿宋_GB2312" w:cs="仿宋_GB2312"/>
          <w:bCs/>
          <w:kern w:val="0"/>
          <w:sz w:val="32"/>
          <w:szCs w:val="32"/>
        </w:rPr>
        <w:t>九、《财政拨款“三公”经费支出决算表》</w:t>
      </w:r>
      <w:r>
        <w:rPr>
          <w:rFonts w:hint="eastAsia" w:ascii="仿宋_GB2312" w:hAnsi="仿宋_GB2312" w:eastAsia="仿宋_GB2312" w:cs="仿宋_GB2312"/>
          <w:bCs/>
          <w:kern w:val="0"/>
          <w:sz w:val="32"/>
          <w:szCs w:val="32"/>
        </w:rPr>
        <w:fldChar w:fldCharType="end"/>
      </w:r>
    </w:p>
    <w:p w14:paraId="047C782A">
      <w:pPr>
        <w:jc w:val="center"/>
        <w:outlineLvl w:val="0"/>
        <w:rPr>
          <w:rFonts w:ascii="黑体" w:hAnsi="黑体" w:eastAsia="黑体"/>
          <w:sz w:val="32"/>
          <w:szCs w:val="32"/>
        </w:rPr>
      </w:pPr>
      <w:r>
        <w:rPr>
          <w:rFonts w:hint="eastAsia" w:ascii="仿宋_GB2312" w:hAnsi="仿宋_GB2312" w:eastAsia="仿宋_GB2312" w:cs="仿宋_GB2312"/>
          <w:sz w:val="32"/>
          <w:szCs w:val="32"/>
        </w:rPr>
        <w:fldChar w:fldCharType="end"/>
      </w:r>
      <w:r>
        <w:rPr>
          <w:rFonts w:hint="eastAsia" w:ascii="仿宋_GB2312" w:eastAsia="仿宋_GB2312"/>
          <w:sz w:val="32"/>
          <w:szCs w:val="32"/>
        </w:rPr>
        <w:br w:type="page"/>
      </w:r>
      <w:bookmarkStart w:id="0" w:name="_Toc31918"/>
      <w:bookmarkStart w:id="1" w:name="_Toc24028"/>
      <w:r>
        <w:rPr>
          <w:rFonts w:hint="eastAsia" w:ascii="黑体" w:hAnsi="黑体" w:eastAsia="黑体"/>
          <w:sz w:val="32"/>
          <w:szCs w:val="32"/>
        </w:rPr>
        <w:t>第一部分 单位概况</w:t>
      </w:r>
      <w:bookmarkEnd w:id="0"/>
      <w:bookmarkEnd w:id="1"/>
    </w:p>
    <w:p w14:paraId="0E1F888D">
      <w:pPr>
        <w:ind w:firstLine="640" w:firstLineChars="200"/>
        <w:outlineLvl w:val="1"/>
        <w:rPr>
          <w:rFonts w:ascii="黑体" w:hAnsi="黑体" w:eastAsia="黑体" w:cs="宋体"/>
          <w:bCs/>
          <w:kern w:val="0"/>
          <w:sz w:val="32"/>
          <w:szCs w:val="32"/>
        </w:rPr>
      </w:pPr>
      <w:bookmarkStart w:id="2" w:name="_Toc2898"/>
      <w:bookmarkStart w:id="3" w:name="_Toc30738"/>
      <w:r>
        <w:rPr>
          <w:rFonts w:hint="eastAsia" w:ascii="黑体" w:hAnsi="黑体" w:eastAsia="黑体" w:cs="宋体"/>
          <w:bCs/>
          <w:kern w:val="0"/>
          <w:sz w:val="32"/>
          <w:szCs w:val="32"/>
        </w:rPr>
        <w:t>一、主要职能</w:t>
      </w:r>
      <w:bookmarkEnd w:id="2"/>
      <w:bookmarkEnd w:id="3"/>
    </w:p>
    <w:p w14:paraId="1556AC40">
      <w:pPr>
        <w:snapToGrid w:val="0"/>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 xml:space="preserve">（1）对全区各级文物保护单位及其它具有文物价值的古建筑、古遗址、石窟寺、石刻及近现代纪念建筑物进行调查研究、勘察测绘、编制维修保护方案； </w:t>
      </w:r>
    </w:p>
    <w:p w14:paraId="6411F850">
      <w:pPr>
        <w:snapToGrid w:val="0"/>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（2）负责全区各类文物保护性建筑工程科学研究、试验，为各类文物保护单位维修方案的制定提供技术依据；</w:t>
      </w:r>
    </w:p>
    <w:p w14:paraId="7E3FE494">
      <w:pPr>
        <w:snapToGrid w:val="0"/>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（3）根据上级部门授权，负责编制自治区境内文物古迹的保护发展规划，参与制订自治区文物建筑、文物遗址保护和规划的规范标准和建立文物勘查和现状评估规程和标准；</w:t>
      </w:r>
    </w:p>
    <w:p w14:paraId="2E26E1B9">
      <w:pPr>
        <w:snapToGrid w:val="0"/>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（4）根据上级部门的授权，参与文物保护维修工程指导、方案实施、技术监督、施工监理、工程验收等；</w:t>
      </w:r>
    </w:p>
    <w:p w14:paraId="7E2C366B">
      <w:pPr>
        <w:snapToGrid w:val="0"/>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（5）根据上级业务部门的安排对全区重点文物保护单位实施动态监测，对出现的问题提出解决方案；</w:t>
      </w:r>
    </w:p>
    <w:p w14:paraId="6DAA340D">
      <w:pPr>
        <w:snapToGrid w:val="0"/>
        <w:spacing w:line="520" w:lineRule="exact"/>
        <w:ind w:firstLine="640" w:firstLineChars="200"/>
        <w:rPr>
          <w:rFonts w:ascii="仿宋_GB2312" w:eastAsia="仿宋_GB2312"/>
          <w:sz w:val="32"/>
          <w:szCs w:val="32"/>
        </w:rPr>
      </w:pPr>
      <w:r>
        <w:rPr>
          <w:rFonts w:hint="eastAsia" w:ascii="仿宋_GB2312" w:hAnsi="仿宋" w:eastAsia="仿宋_GB2312"/>
          <w:sz w:val="32"/>
          <w:szCs w:val="32"/>
        </w:rPr>
        <w:t>（6）负责全区文物保护单位档案的建立工作，并指导各地区的文物建档工作，负责全区文物信息资料的收集、保存、保护及提供研究工作。</w:t>
      </w:r>
    </w:p>
    <w:p w14:paraId="1AEAA555">
      <w:pPr>
        <w:ind w:firstLine="640" w:firstLineChars="200"/>
        <w:outlineLvl w:val="1"/>
        <w:rPr>
          <w:rFonts w:ascii="黑体" w:hAnsi="黑体" w:eastAsia="黑体" w:cs="宋体"/>
          <w:bCs/>
          <w:kern w:val="0"/>
          <w:sz w:val="32"/>
          <w:szCs w:val="32"/>
        </w:rPr>
      </w:pPr>
      <w:bookmarkStart w:id="4" w:name="_Toc31238"/>
      <w:bookmarkStart w:id="5" w:name="_Toc1387"/>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0140DB19">
      <w:pPr>
        <w:ind w:firstLine="640" w:firstLineChars="200"/>
        <w:rPr>
          <w:rFonts w:ascii="仿宋_GB2312" w:eastAsia="仿宋_GB2312"/>
          <w:color w:val="0000FF"/>
          <w:sz w:val="32"/>
          <w:szCs w:val="32"/>
        </w:rPr>
      </w:pPr>
      <w:r>
        <w:rPr>
          <w:rFonts w:hint="eastAsia" w:ascii="仿宋_GB2312" w:hAnsi="Times New Roman" w:eastAsia="仿宋_GB2312" w:cs="Times New Roman"/>
          <w:spacing w:val="0"/>
          <w:sz w:val="32"/>
          <w:szCs w:val="32"/>
          <w:highlight w:val="none"/>
          <w:lang w:eastAsia="zh-CN"/>
        </w:rPr>
        <w:t>新疆维吾尔自治区文化遗产保护中心2024年度，实有人数32人，其中：在职人员19人，减少1人；离休人员0人，增加0人；退休人员13人，增加1人</w:t>
      </w:r>
      <w:r>
        <w:rPr>
          <w:rFonts w:hint="eastAsia" w:ascii="仿宋_GB2312" w:eastAsia="仿宋_GB2312"/>
          <w:sz w:val="32"/>
          <w:szCs w:val="32"/>
        </w:rPr>
        <w:t>。</w:t>
      </w:r>
    </w:p>
    <w:p w14:paraId="7B94A687">
      <w:pPr>
        <w:shd w:val="clear" w:fill="FFFFFF" w:themeFill="background1"/>
        <w:ind w:firstLine="640" w:firstLineChars="200"/>
        <w:rPr>
          <w:rFonts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color w:val="auto"/>
          <w:kern w:val="0"/>
          <w:sz w:val="32"/>
          <w:szCs w:val="32"/>
          <w:highlight w:val="none"/>
          <w:shd w:val="clear" w:color="auto"/>
          <w:lang w:eastAsia="zh-CN"/>
        </w:rPr>
        <w:t>单位</w:t>
      </w:r>
      <w:r>
        <w:rPr>
          <w:rFonts w:hint="eastAsia" w:ascii="仿宋_GB2312" w:hAnsi="黑体" w:eastAsia="仿宋_GB2312" w:cs="宋体"/>
          <w:bCs/>
          <w:color w:val="auto"/>
          <w:kern w:val="0"/>
          <w:sz w:val="32"/>
          <w:szCs w:val="32"/>
          <w:highlight w:val="none"/>
        </w:rPr>
        <w:t>无</w:t>
      </w:r>
      <w:r>
        <w:rPr>
          <w:rFonts w:hint="eastAsia" w:ascii="仿宋_GB2312" w:hAnsi="黑体" w:eastAsia="仿宋_GB2312" w:cs="宋体"/>
          <w:bCs/>
          <w:kern w:val="0"/>
          <w:sz w:val="32"/>
          <w:szCs w:val="32"/>
          <w:highlight w:val="none"/>
        </w:rPr>
        <w:t>下</w:t>
      </w:r>
      <w:r>
        <w:rPr>
          <w:rFonts w:hint="eastAsia" w:ascii="仿宋_GB2312" w:hAnsi="黑体" w:eastAsia="仿宋_GB2312" w:cs="宋体"/>
          <w:bCs/>
          <w:kern w:val="0"/>
          <w:sz w:val="32"/>
          <w:szCs w:val="32"/>
        </w:rPr>
        <w:t>属预算单位，下设</w:t>
      </w:r>
      <w:r>
        <w:rPr>
          <w:rFonts w:hint="eastAsia" w:ascii="仿宋_GB2312" w:eastAsia="仿宋_GB2312"/>
          <w:sz w:val="32"/>
          <w:szCs w:val="32"/>
        </w:rPr>
        <w:t>3</w:t>
      </w:r>
      <w:r>
        <w:rPr>
          <w:rFonts w:hint="eastAsia" w:ascii="仿宋_GB2312" w:hAnsi="黑体" w:eastAsia="仿宋_GB2312" w:cs="宋体"/>
          <w:bCs/>
          <w:kern w:val="0"/>
          <w:sz w:val="32"/>
          <w:szCs w:val="32"/>
        </w:rPr>
        <w:t>个科室，分别是：</w:t>
      </w:r>
      <w:r>
        <w:rPr>
          <w:rFonts w:hint="eastAsia" w:ascii="仿宋_GB2312" w:hAnsi="仿宋" w:eastAsia="仿宋_GB2312"/>
          <w:sz w:val="32"/>
          <w:szCs w:val="32"/>
        </w:rPr>
        <w:t>办公室、规划设计所、信息咨询所</w:t>
      </w:r>
      <w:r>
        <w:rPr>
          <w:rFonts w:hint="eastAsia" w:ascii="仿宋_GB2312" w:hAnsi="宋体" w:eastAsia="仿宋_GB2312" w:cs="宋体"/>
          <w:kern w:val="0"/>
          <w:sz w:val="32"/>
          <w:szCs w:val="32"/>
        </w:rPr>
        <w:t>。</w:t>
      </w:r>
      <w:bookmarkStart w:id="59" w:name="_GoBack"/>
      <w:bookmarkEnd w:id="59"/>
    </w:p>
    <w:p w14:paraId="7630CB70">
      <w:pPr>
        <w:jc w:val="center"/>
        <w:outlineLvl w:val="0"/>
        <w:rPr>
          <w:rFonts w:ascii="黑体" w:hAnsi="黑体" w:eastAsia="黑体"/>
          <w:sz w:val="32"/>
          <w:szCs w:val="32"/>
        </w:rPr>
      </w:pPr>
      <w:bookmarkStart w:id="6" w:name="_Toc7559"/>
      <w:bookmarkStart w:id="7" w:name="_Toc3092"/>
      <w:r>
        <w:rPr>
          <w:rFonts w:hint="eastAsia" w:ascii="黑体" w:hAnsi="黑体" w:eastAsia="黑体"/>
          <w:sz w:val="32"/>
          <w:szCs w:val="32"/>
        </w:rPr>
        <w:t>第二部分 部门决算情况说明</w:t>
      </w:r>
      <w:bookmarkEnd w:id="6"/>
      <w:bookmarkEnd w:id="7"/>
    </w:p>
    <w:p w14:paraId="4FB13709">
      <w:pPr>
        <w:shd w:val="clear"/>
        <w:ind w:firstLine="640" w:firstLineChars="200"/>
        <w:outlineLvl w:val="1"/>
        <w:rPr>
          <w:rFonts w:ascii="黑体" w:hAnsi="黑体" w:eastAsia="黑体" w:cs="宋体"/>
          <w:bCs/>
          <w:kern w:val="0"/>
          <w:sz w:val="32"/>
          <w:szCs w:val="32"/>
        </w:rPr>
      </w:pPr>
      <w:bookmarkStart w:id="8" w:name="_Toc6321"/>
      <w:bookmarkStart w:id="9" w:name="_Toc12566"/>
      <w:r>
        <w:rPr>
          <w:rFonts w:hint="eastAsia" w:ascii="黑体" w:hAnsi="黑体" w:eastAsia="黑体" w:cs="宋体"/>
          <w:bCs/>
          <w:kern w:val="0"/>
          <w:sz w:val="32"/>
          <w:szCs w:val="32"/>
        </w:rPr>
        <w:t>一、收入支出决算总体情况说明</w:t>
      </w:r>
      <w:bookmarkEnd w:id="8"/>
      <w:bookmarkEnd w:id="9"/>
    </w:p>
    <w:p w14:paraId="1672FE4B">
      <w:pPr>
        <w:ind w:firstLine="643" w:firstLineChars="200"/>
        <w:rPr>
          <w:rFonts w:ascii="仿宋_GB2312" w:eastAsia="仿宋_GB2312"/>
          <w:sz w:val="32"/>
          <w:szCs w:val="32"/>
          <w:highlight w:val="none"/>
        </w:rPr>
      </w:pPr>
      <w:r>
        <w:rPr>
          <w:rFonts w:hint="eastAsia" w:ascii="仿宋_GB2312" w:eastAsia="仿宋_GB2312"/>
          <w:b/>
          <w:bCs/>
          <w:sz w:val="32"/>
          <w:szCs w:val="32"/>
        </w:rPr>
        <w:t>2024年度收入总计1</w:t>
      </w:r>
      <w:r>
        <w:rPr>
          <w:rFonts w:hint="eastAsia" w:ascii="仿宋_GB2312" w:eastAsia="仿宋_GB2312"/>
          <w:b/>
          <w:bCs/>
          <w:sz w:val="32"/>
          <w:szCs w:val="32"/>
          <w:lang w:val="en-US" w:eastAsia="zh-CN"/>
        </w:rPr>
        <w:t>,</w:t>
      </w:r>
      <w:r>
        <w:rPr>
          <w:rFonts w:hint="eastAsia" w:ascii="仿宋_GB2312" w:eastAsia="仿宋_GB2312"/>
          <w:b/>
          <w:bCs/>
          <w:sz w:val="32"/>
          <w:szCs w:val="32"/>
        </w:rPr>
        <w:t>086.39</w:t>
      </w:r>
      <w:r>
        <w:rPr>
          <w:rFonts w:hint="eastAsia" w:ascii="仿宋_GB2312" w:eastAsia="仿宋_GB2312"/>
          <w:b/>
          <w:bCs/>
          <w:sz w:val="32"/>
          <w:szCs w:val="32"/>
          <w:highlight w:val="none"/>
        </w:rPr>
        <w:t>万元，</w:t>
      </w:r>
      <w:r>
        <w:rPr>
          <w:rFonts w:hint="eastAsia" w:ascii="仿宋_GB2312" w:eastAsia="仿宋_GB2312"/>
          <w:sz w:val="32"/>
          <w:szCs w:val="32"/>
          <w:highlight w:val="none"/>
        </w:rPr>
        <w:t>其中：本年收入合计784.18万元，使用非财政拨款结余（含专用结余）0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万元，年初结转和结余302.21万元。</w:t>
      </w:r>
    </w:p>
    <w:p w14:paraId="4E53A783">
      <w:pPr>
        <w:ind w:firstLine="643" w:firstLineChars="200"/>
        <w:rPr>
          <w:rFonts w:ascii="仿宋_GB2312" w:eastAsia="仿宋_GB2312"/>
          <w:sz w:val="32"/>
          <w:szCs w:val="32"/>
        </w:rPr>
      </w:pPr>
      <w:r>
        <w:rPr>
          <w:rFonts w:hint="eastAsia" w:ascii="仿宋_GB2312" w:eastAsia="仿宋_GB2312"/>
          <w:b/>
          <w:bCs/>
          <w:sz w:val="32"/>
          <w:szCs w:val="32"/>
          <w:highlight w:val="none"/>
        </w:rPr>
        <w:t>2024年度支出总计1</w:t>
      </w:r>
      <w:r>
        <w:rPr>
          <w:rFonts w:hint="eastAsia" w:ascii="仿宋_GB2312" w:eastAsia="仿宋_GB2312"/>
          <w:b/>
          <w:bCs/>
          <w:sz w:val="32"/>
          <w:szCs w:val="32"/>
          <w:highlight w:val="none"/>
          <w:lang w:val="en-US" w:eastAsia="zh-CN"/>
        </w:rPr>
        <w:t>,</w:t>
      </w:r>
      <w:r>
        <w:rPr>
          <w:rFonts w:hint="eastAsia" w:ascii="仿宋_GB2312" w:eastAsia="仿宋_GB2312"/>
          <w:b/>
          <w:bCs/>
          <w:sz w:val="32"/>
          <w:szCs w:val="32"/>
          <w:highlight w:val="none"/>
        </w:rPr>
        <w:t>086.39万元，</w:t>
      </w:r>
      <w:r>
        <w:rPr>
          <w:rFonts w:hint="eastAsia" w:ascii="仿宋_GB2312" w:eastAsia="仿宋_GB2312"/>
          <w:sz w:val="32"/>
          <w:szCs w:val="32"/>
          <w:highlight w:val="none"/>
        </w:rPr>
        <w:t>其中：本年支出合计820.53万元，结余分配22.66万元，年末结转和结</w:t>
      </w:r>
      <w:r>
        <w:rPr>
          <w:rFonts w:hint="eastAsia" w:ascii="仿宋_GB2312" w:eastAsia="仿宋_GB2312"/>
          <w:sz w:val="32"/>
          <w:szCs w:val="32"/>
        </w:rPr>
        <w:t>余243.2</w:t>
      </w:r>
      <w:r>
        <w:rPr>
          <w:rFonts w:hint="eastAsia" w:ascii="仿宋_GB2312" w:eastAsia="仿宋_GB2312"/>
          <w:sz w:val="32"/>
          <w:szCs w:val="32"/>
          <w:lang w:val="en-US" w:eastAsia="zh-CN"/>
        </w:rPr>
        <w:t>0</w:t>
      </w:r>
      <w:r>
        <w:rPr>
          <w:rFonts w:hint="eastAsia" w:ascii="仿宋_GB2312" w:eastAsia="仿宋_GB2312"/>
          <w:sz w:val="32"/>
          <w:szCs w:val="32"/>
        </w:rPr>
        <w:t>万元。</w:t>
      </w:r>
    </w:p>
    <w:p w14:paraId="0334DE0A">
      <w:pPr>
        <w:ind w:firstLine="643" w:firstLineChars="200"/>
        <w:rPr>
          <w:rFonts w:hint="eastAsia" w:ascii="仿宋_GB2312" w:eastAsia="仿宋_GB2312"/>
          <w:sz w:val="32"/>
          <w:szCs w:val="32"/>
        </w:rPr>
      </w:pPr>
      <w:r>
        <w:rPr>
          <w:rFonts w:hint="eastAsia" w:ascii="仿宋_GB2312" w:hAnsi="仿宋_GB2312" w:eastAsia="仿宋_GB2312" w:cs="仿宋_GB2312"/>
          <w:b/>
          <w:bCs w:val="0"/>
          <w:kern w:val="0"/>
          <w:sz w:val="32"/>
          <w:szCs w:val="32"/>
          <w:highlight w:val="none"/>
        </w:rPr>
        <w:t>收入支出总体</w:t>
      </w:r>
      <w:r>
        <w:rPr>
          <w:rFonts w:hint="eastAsia" w:ascii="仿宋_GB2312" w:eastAsia="仿宋_GB2312"/>
          <w:b/>
          <w:bCs w:val="0"/>
          <w:sz w:val="32"/>
          <w:szCs w:val="32"/>
          <w:highlight w:val="none"/>
        </w:rPr>
        <w:t>与上年相比</w:t>
      </w:r>
      <w:r>
        <w:rPr>
          <w:rFonts w:hint="eastAsia" w:ascii="仿宋_GB2312" w:eastAsia="仿宋_GB2312"/>
          <w:b/>
          <w:sz w:val="32"/>
          <w:szCs w:val="32"/>
        </w:rPr>
        <w:t>，</w:t>
      </w:r>
      <w:r>
        <w:rPr>
          <w:rFonts w:hint="eastAsia" w:ascii="仿宋_GB2312" w:eastAsia="仿宋_GB2312"/>
          <w:sz w:val="32"/>
          <w:szCs w:val="32"/>
        </w:rPr>
        <w:t>减少372.18万元，下降25.52%，主要原因是：</w:t>
      </w:r>
      <w:r>
        <w:rPr>
          <w:rFonts w:hint="eastAsia" w:ascii="仿宋_GB2312" w:eastAsia="仿宋_GB2312"/>
          <w:sz w:val="32"/>
          <w:szCs w:val="32"/>
          <w:lang w:val="en-US" w:eastAsia="zh-CN"/>
        </w:rPr>
        <w:t>财政收支方面，在职减少一人以及减少财政公用经费支出导致基本支出减少，2024年文保专项资金还有部分项目例如“四有”工作经费、坎儿井保护工程1-7期效果评估、文保工程设计方案评审、文保工程事中事后检查验收等项目未完全结束经费报销，导致2024年部分项目指标金额结转至2025年预算中，项目支出较上年减少；非财政收支方面，本年文物保护影响评估咨询费收入及其他收入等都较上年减少，导致本年收入支出整体与上年相比减少</w:t>
      </w:r>
      <w:r>
        <w:rPr>
          <w:rFonts w:hint="eastAsia" w:ascii="仿宋_GB2312" w:eastAsia="仿宋_GB2312"/>
          <w:sz w:val="32"/>
          <w:szCs w:val="32"/>
        </w:rPr>
        <w:t>。</w:t>
      </w:r>
    </w:p>
    <w:p w14:paraId="1E6E74AF">
      <w:pPr>
        <w:ind w:firstLine="640" w:firstLineChars="200"/>
        <w:outlineLvl w:val="1"/>
        <w:rPr>
          <w:rFonts w:ascii="黑体" w:hAnsi="黑体" w:eastAsia="黑体" w:cs="宋体"/>
          <w:bCs/>
          <w:kern w:val="0"/>
          <w:sz w:val="32"/>
          <w:szCs w:val="32"/>
        </w:rPr>
      </w:pPr>
      <w:bookmarkStart w:id="10" w:name="_Toc1979"/>
      <w:bookmarkStart w:id="11" w:name="_Toc6311"/>
      <w:r>
        <w:rPr>
          <w:rFonts w:hint="eastAsia" w:ascii="黑体" w:hAnsi="黑体" w:eastAsia="黑体" w:cs="宋体"/>
          <w:bCs/>
          <w:kern w:val="0"/>
          <w:sz w:val="32"/>
          <w:szCs w:val="32"/>
        </w:rPr>
        <w:t>二、收入决算情况说明</w:t>
      </w:r>
      <w:bookmarkEnd w:id="10"/>
      <w:bookmarkEnd w:id="11"/>
    </w:p>
    <w:p w14:paraId="127291FC">
      <w:pPr>
        <w:ind w:firstLine="643" w:firstLineChars="200"/>
        <w:rPr>
          <w:rFonts w:ascii="仿宋_GB2312" w:eastAsia="仿宋_GB2312"/>
          <w:color w:val="0000FF"/>
          <w:sz w:val="32"/>
          <w:szCs w:val="32"/>
        </w:rPr>
      </w:pPr>
      <w:r>
        <w:rPr>
          <w:rFonts w:hint="eastAsia" w:ascii="仿宋_GB2312" w:eastAsia="仿宋_GB2312"/>
          <w:b/>
          <w:bCs/>
          <w:sz w:val="32"/>
          <w:szCs w:val="32"/>
        </w:rPr>
        <w:t>本年收入784.18万元，</w:t>
      </w:r>
      <w:r>
        <w:rPr>
          <w:rFonts w:hint="eastAsia" w:ascii="仿宋_GB2312" w:eastAsia="仿宋_GB2312"/>
          <w:sz w:val="32"/>
          <w:szCs w:val="32"/>
        </w:rPr>
        <w:t>其中：财政拨款收入607.29万元，占77</w:t>
      </w:r>
      <w:r>
        <w:rPr>
          <w:rFonts w:hint="eastAsia" w:ascii="仿宋_GB2312" w:eastAsia="仿宋_GB2312"/>
          <w:sz w:val="32"/>
          <w:szCs w:val="32"/>
          <w:highlight w:val="none"/>
        </w:rPr>
        <w:t>.44%；上级补助收入0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万元，占0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%；事业收入175.37万元，占22.36%；经营收入0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万元，占0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%；附属单位上缴收入0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万元，占0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%；其他收入1.52万</w:t>
      </w:r>
      <w:r>
        <w:rPr>
          <w:rFonts w:hint="eastAsia" w:ascii="仿宋_GB2312" w:eastAsia="仿宋_GB2312"/>
          <w:sz w:val="32"/>
          <w:szCs w:val="32"/>
        </w:rPr>
        <w:t>元，占0.19%。</w:t>
      </w:r>
    </w:p>
    <w:p w14:paraId="5DA4A18A">
      <w:pPr>
        <w:ind w:firstLine="640" w:firstLineChars="200"/>
        <w:outlineLvl w:val="1"/>
        <w:rPr>
          <w:rFonts w:ascii="黑体" w:hAnsi="黑体" w:eastAsia="黑体" w:cs="宋体"/>
          <w:bCs/>
          <w:kern w:val="0"/>
          <w:sz w:val="32"/>
          <w:szCs w:val="32"/>
        </w:rPr>
      </w:pPr>
      <w:bookmarkStart w:id="12" w:name="_Toc27961"/>
      <w:bookmarkStart w:id="13" w:name="_Toc20629"/>
      <w:r>
        <w:rPr>
          <w:rFonts w:hint="eastAsia" w:ascii="黑体" w:hAnsi="黑体" w:eastAsia="黑体" w:cs="宋体"/>
          <w:bCs/>
          <w:kern w:val="0"/>
          <w:sz w:val="32"/>
          <w:szCs w:val="32"/>
        </w:rPr>
        <w:t>三、支出决算情况说明</w:t>
      </w:r>
      <w:bookmarkEnd w:id="12"/>
      <w:bookmarkEnd w:id="13"/>
    </w:p>
    <w:p w14:paraId="3863DFB6">
      <w:pPr>
        <w:ind w:firstLine="643" w:firstLineChars="200"/>
        <w:rPr>
          <w:rFonts w:ascii="仿宋_GB2312" w:eastAsia="仿宋_GB2312"/>
          <w:sz w:val="32"/>
          <w:szCs w:val="32"/>
          <w:highlight w:val="none"/>
        </w:rPr>
      </w:pPr>
      <w:r>
        <w:rPr>
          <w:rFonts w:hint="eastAsia" w:ascii="仿宋_GB2312" w:eastAsia="仿宋_GB2312"/>
          <w:b/>
          <w:bCs/>
          <w:sz w:val="32"/>
          <w:szCs w:val="32"/>
        </w:rPr>
        <w:t>本年支出820.53万元，</w:t>
      </w:r>
      <w:r>
        <w:rPr>
          <w:rFonts w:hint="eastAsia" w:ascii="仿宋_GB2312" w:eastAsia="仿宋_GB2312"/>
          <w:sz w:val="32"/>
          <w:szCs w:val="32"/>
        </w:rPr>
        <w:t>其中：基本支出458.99万元，</w:t>
      </w:r>
      <w:r>
        <w:rPr>
          <w:rFonts w:hint="eastAsia" w:ascii="仿宋_GB2312" w:eastAsia="仿宋_GB2312"/>
          <w:sz w:val="32"/>
          <w:szCs w:val="32"/>
          <w:highlight w:val="none"/>
        </w:rPr>
        <w:t>占55.94%；项目支出361.54万元，占44.06%；上缴上级支出0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万元，占0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%；经营支出0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万元，占0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%；对附属单位补助支出0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万元，占0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w:t>
      </w:r>
    </w:p>
    <w:p w14:paraId="296BBA07">
      <w:pPr>
        <w:ind w:firstLine="640" w:firstLineChars="200"/>
        <w:outlineLvl w:val="1"/>
        <w:rPr>
          <w:rFonts w:ascii="黑体" w:hAnsi="黑体" w:eastAsia="黑体" w:cs="宋体"/>
          <w:bCs/>
          <w:kern w:val="0"/>
          <w:sz w:val="32"/>
          <w:szCs w:val="32"/>
          <w:highlight w:val="none"/>
        </w:rPr>
      </w:pPr>
      <w:bookmarkStart w:id="14" w:name="_Toc4393"/>
      <w:bookmarkStart w:id="15" w:name="_Toc7371"/>
      <w:r>
        <w:rPr>
          <w:rFonts w:hint="eastAsia" w:ascii="黑体" w:hAnsi="黑体" w:eastAsia="黑体" w:cs="宋体"/>
          <w:bCs/>
          <w:kern w:val="0"/>
          <w:sz w:val="32"/>
          <w:szCs w:val="32"/>
          <w:highlight w:val="none"/>
        </w:rPr>
        <w:t>四、财政拨款收入支出决算总体情况说明</w:t>
      </w:r>
      <w:bookmarkEnd w:id="14"/>
      <w:bookmarkEnd w:id="15"/>
    </w:p>
    <w:p w14:paraId="1527C714">
      <w:pPr>
        <w:ind w:firstLine="643" w:firstLineChars="200"/>
        <w:rPr>
          <w:rFonts w:hint="eastAsia" w:ascii="仿宋_GB2312" w:eastAsia="仿宋_GB2312"/>
          <w:sz w:val="32"/>
          <w:szCs w:val="32"/>
        </w:rPr>
      </w:pPr>
      <w:r>
        <w:rPr>
          <w:rFonts w:hint="eastAsia" w:ascii="仿宋_GB2312" w:eastAsia="仿宋_GB2312"/>
          <w:b/>
          <w:bCs/>
          <w:sz w:val="32"/>
          <w:szCs w:val="32"/>
          <w:highlight w:val="none"/>
        </w:rPr>
        <w:t>2024年度财政拨款收入总计607.29万元，</w:t>
      </w:r>
      <w:r>
        <w:rPr>
          <w:rFonts w:hint="eastAsia" w:ascii="仿宋_GB2312" w:eastAsia="仿宋_GB2312"/>
          <w:sz w:val="32"/>
          <w:szCs w:val="32"/>
          <w:highlight w:val="none"/>
        </w:rPr>
        <w:t>其中：年初财政拨款结转和结余0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万元，本年财政拨款收入607.29万元。</w:t>
      </w:r>
      <w:r>
        <w:rPr>
          <w:rFonts w:hint="eastAsia" w:ascii="仿宋_GB2312" w:eastAsia="仿宋_GB2312"/>
          <w:b/>
          <w:bCs/>
          <w:sz w:val="32"/>
          <w:szCs w:val="32"/>
          <w:highlight w:val="none"/>
        </w:rPr>
        <w:t>财政拨款支出总计607.29万元，</w:t>
      </w:r>
      <w:r>
        <w:rPr>
          <w:rFonts w:hint="eastAsia" w:ascii="仿宋_GB2312" w:eastAsia="仿宋_GB2312"/>
          <w:sz w:val="32"/>
          <w:szCs w:val="32"/>
          <w:highlight w:val="none"/>
        </w:rPr>
        <w:t>其中：年末财政拨款结转和结余0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万元，本年财</w:t>
      </w:r>
      <w:r>
        <w:rPr>
          <w:rFonts w:hint="eastAsia" w:ascii="仿宋_GB2312" w:eastAsia="仿宋_GB2312"/>
          <w:sz w:val="32"/>
          <w:szCs w:val="32"/>
        </w:rPr>
        <w:t>政拨款支出607.29万元。</w:t>
      </w:r>
      <w:r>
        <w:rPr>
          <w:rFonts w:hint="eastAsia" w:ascii="仿宋_GB2312" w:hAnsi="仿宋_GB2312" w:eastAsia="仿宋_GB2312" w:cs="仿宋_GB2312"/>
          <w:b/>
          <w:kern w:val="0"/>
          <w:sz w:val="32"/>
          <w:szCs w:val="32"/>
        </w:rPr>
        <w:t>财政拨款收入支出总体</w:t>
      </w:r>
      <w:r>
        <w:rPr>
          <w:rFonts w:hint="eastAsia" w:ascii="仿宋_GB2312" w:eastAsia="仿宋_GB2312"/>
          <w:b/>
          <w:sz w:val="32"/>
          <w:szCs w:val="32"/>
        </w:rPr>
        <w:t>与上年相比，</w:t>
      </w:r>
      <w:r>
        <w:rPr>
          <w:rFonts w:hint="eastAsia" w:ascii="仿宋_GB2312" w:eastAsia="仿宋_GB2312"/>
          <w:sz w:val="32"/>
          <w:szCs w:val="32"/>
        </w:rPr>
        <w:t>减少420.36万元，下降40.9%，主要原因是：</w:t>
      </w:r>
      <w:r>
        <w:rPr>
          <w:rFonts w:hint="eastAsia" w:ascii="仿宋_GB2312" w:eastAsia="仿宋_GB2312"/>
          <w:sz w:val="32"/>
          <w:szCs w:val="32"/>
          <w:lang w:val="en-US" w:eastAsia="zh-CN"/>
        </w:rPr>
        <w:t>上年使用财政拨款年初结转金额279.63万元，而本年无财政拨款年初结转金额，在职减少一人以及减少财政公用经费支出导致基本支出减少，2024年文保专项资金还有部分项目例如“四有”工作经费、坎儿井保护工程1-7期效果评估、文保工程设计方案评审、文保工程事中事后检查验收等项目未完全结束经费报销，导致2024年部分项目指标金额结转至2025年预算中，项目支出较上年减少</w:t>
      </w:r>
      <w:r>
        <w:rPr>
          <w:rFonts w:hint="eastAsia" w:ascii="仿宋_GB2312" w:eastAsia="仿宋_GB2312"/>
          <w:sz w:val="32"/>
          <w:szCs w:val="32"/>
        </w:rPr>
        <w:t>。</w:t>
      </w:r>
      <w:r>
        <w:rPr>
          <w:rFonts w:hint="eastAsia" w:ascii="仿宋_GB2312" w:eastAsia="仿宋_GB2312"/>
          <w:b/>
          <w:bCs/>
          <w:sz w:val="32"/>
          <w:szCs w:val="32"/>
        </w:rPr>
        <w:t>与年初预算相比，</w:t>
      </w:r>
      <w:r>
        <w:rPr>
          <w:rFonts w:hint="eastAsia" w:ascii="仿宋_GB2312" w:eastAsia="仿宋_GB2312"/>
          <w:sz w:val="32"/>
          <w:szCs w:val="32"/>
        </w:rPr>
        <w:t>年初预算数603.49万元，决算数607.29万元，预决算差异率0.63%，主要原因是：</w:t>
      </w:r>
      <w:r>
        <w:rPr>
          <w:rFonts w:hint="eastAsia" w:ascii="仿宋_GB2312" w:eastAsia="仿宋_GB2312"/>
          <w:sz w:val="32"/>
          <w:szCs w:val="32"/>
          <w:lang w:val="en-US" w:eastAsia="zh-CN"/>
        </w:rPr>
        <w:t>财政追加人员经费</w:t>
      </w:r>
      <w:r>
        <w:rPr>
          <w:rFonts w:hint="eastAsia" w:ascii="仿宋_GB2312" w:eastAsia="仿宋_GB2312"/>
          <w:sz w:val="32"/>
          <w:szCs w:val="32"/>
        </w:rPr>
        <w:t>。</w:t>
      </w:r>
    </w:p>
    <w:p w14:paraId="78AC0571">
      <w:pPr>
        <w:ind w:firstLine="640" w:firstLineChars="200"/>
        <w:outlineLvl w:val="1"/>
        <w:rPr>
          <w:rFonts w:ascii="黑体" w:hAnsi="黑体" w:eastAsia="黑体" w:cs="宋体"/>
          <w:bCs/>
          <w:kern w:val="0"/>
          <w:sz w:val="32"/>
          <w:szCs w:val="32"/>
        </w:rPr>
      </w:pPr>
      <w:bookmarkStart w:id="16" w:name="_Toc13833"/>
      <w:bookmarkStart w:id="17" w:name="_Toc18905"/>
      <w:r>
        <w:rPr>
          <w:rFonts w:hint="eastAsia" w:ascii="黑体" w:hAnsi="黑体" w:eastAsia="黑体" w:cs="宋体"/>
          <w:bCs/>
          <w:kern w:val="0"/>
          <w:sz w:val="32"/>
          <w:szCs w:val="32"/>
        </w:rPr>
        <w:t>五、一般公共预算财政拨款支出决算情况说明</w:t>
      </w:r>
      <w:bookmarkEnd w:id="16"/>
      <w:bookmarkEnd w:id="17"/>
    </w:p>
    <w:p w14:paraId="773EA203">
      <w:pPr>
        <w:ind w:firstLine="640" w:firstLineChars="200"/>
        <w:outlineLvl w:val="2"/>
        <w:rPr>
          <w:rFonts w:ascii="黑体" w:hAnsi="黑体" w:eastAsia="黑体"/>
          <w:sz w:val="32"/>
          <w:szCs w:val="32"/>
        </w:rPr>
      </w:pPr>
      <w:bookmarkStart w:id="18" w:name="_Toc1165"/>
      <w:r>
        <w:rPr>
          <w:rFonts w:hint="eastAsia" w:ascii="黑体" w:hAnsi="黑体" w:eastAsia="黑体"/>
          <w:sz w:val="32"/>
          <w:szCs w:val="32"/>
        </w:rPr>
        <w:t>（一）一般公共预算财政拨款支出决算总体情况</w:t>
      </w:r>
      <w:bookmarkEnd w:id="18"/>
    </w:p>
    <w:p w14:paraId="355966FA">
      <w:pPr>
        <w:ind w:firstLine="643" w:firstLineChars="200"/>
        <w:rPr>
          <w:rFonts w:ascii="仿宋_GB2312" w:eastAsia="仿宋_GB2312"/>
          <w:sz w:val="32"/>
          <w:szCs w:val="32"/>
        </w:rPr>
      </w:pPr>
      <w:r>
        <w:rPr>
          <w:rFonts w:hint="eastAsia" w:ascii="仿宋_GB2312" w:eastAsia="仿宋_GB2312"/>
          <w:b/>
          <w:bCs/>
          <w:sz w:val="32"/>
          <w:szCs w:val="32"/>
        </w:rPr>
        <w:t>2024年度一般公共预算财政拨款支出607.29万元，</w:t>
      </w:r>
      <w:r>
        <w:rPr>
          <w:rFonts w:hint="eastAsia" w:ascii="仿宋_GB2312" w:eastAsia="仿宋_GB2312"/>
          <w:sz w:val="32"/>
          <w:szCs w:val="32"/>
        </w:rPr>
        <w:t>占本年支出合计的74.01%。</w:t>
      </w:r>
      <w:r>
        <w:rPr>
          <w:rFonts w:hint="eastAsia" w:ascii="仿宋_GB2312" w:eastAsia="仿宋_GB2312"/>
          <w:b/>
          <w:bCs/>
          <w:sz w:val="32"/>
          <w:szCs w:val="32"/>
        </w:rPr>
        <w:t>与上年相比，</w:t>
      </w:r>
      <w:r>
        <w:rPr>
          <w:rFonts w:hint="eastAsia" w:ascii="仿宋_GB2312" w:eastAsia="仿宋_GB2312"/>
          <w:sz w:val="32"/>
          <w:szCs w:val="32"/>
        </w:rPr>
        <w:t>减少420.36万元，下降40.90%，主要原因是：</w:t>
      </w:r>
      <w:r>
        <w:rPr>
          <w:rFonts w:hint="eastAsia" w:ascii="仿宋_GB2312" w:eastAsia="仿宋_GB2312"/>
          <w:sz w:val="32"/>
          <w:szCs w:val="32"/>
          <w:lang w:val="en-US" w:eastAsia="zh-CN"/>
        </w:rPr>
        <w:t>上年使用财政拨款年初结转金额279.63万元，而本年无财政拨款年初结转金额</w:t>
      </w:r>
      <w:r>
        <w:rPr>
          <w:rFonts w:hint="eastAsia" w:ascii="仿宋_GB2312" w:eastAsia="仿宋_GB2312"/>
          <w:sz w:val="32"/>
          <w:szCs w:val="32"/>
        </w:rPr>
        <w:t>。</w:t>
      </w:r>
      <w:r>
        <w:rPr>
          <w:rFonts w:hint="eastAsia" w:ascii="仿宋_GB2312" w:eastAsia="仿宋_GB2312"/>
          <w:b/>
          <w:bCs/>
          <w:sz w:val="32"/>
          <w:szCs w:val="32"/>
        </w:rPr>
        <w:t>与年初预算相比,</w:t>
      </w:r>
      <w:r>
        <w:rPr>
          <w:rFonts w:hint="eastAsia" w:ascii="仿宋_GB2312" w:eastAsia="仿宋_GB2312"/>
          <w:sz w:val="32"/>
          <w:szCs w:val="32"/>
        </w:rPr>
        <w:t>年初预算数603.49万元，决算数607.29万元，预决算差异率0.63%，主要原因是：</w:t>
      </w:r>
      <w:r>
        <w:rPr>
          <w:rFonts w:hint="eastAsia" w:ascii="仿宋_GB2312" w:eastAsia="仿宋_GB2312"/>
          <w:sz w:val="32"/>
          <w:szCs w:val="32"/>
          <w:lang w:val="en-US" w:eastAsia="zh-CN"/>
        </w:rPr>
        <w:t>财政追加人员经费</w:t>
      </w:r>
      <w:r>
        <w:rPr>
          <w:rFonts w:hint="eastAsia" w:ascii="仿宋_GB2312" w:eastAsia="仿宋_GB2312"/>
          <w:sz w:val="32"/>
          <w:szCs w:val="32"/>
        </w:rPr>
        <w:t>。</w:t>
      </w:r>
    </w:p>
    <w:p w14:paraId="0C18747E">
      <w:pPr>
        <w:ind w:firstLine="640" w:firstLineChars="200"/>
        <w:outlineLvl w:val="2"/>
        <w:rPr>
          <w:rFonts w:ascii="黑体" w:hAnsi="黑体" w:eastAsia="黑体"/>
          <w:sz w:val="32"/>
          <w:szCs w:val="32"/>
        </w:rPr>
      </w:pPr>
      <w:bookmarkStart w:id="19" w:name="_Toc27147"/>
      <w:r>
        <w:rPr>
          <w:rFonts w:hint="eastAsia" w:ascii="黑体" w:hAnsi="黑体" w:eastAsia="黑体"/>
          <w:sz w:val="32"/>
          <w:szCs w:val="32"/>
        </w:rPr>
        <w:t>（二）一般公共预算财政拨款支出决算结构情况</w:t>
      </w:r>
      <w:bookmarkEnd w:id="19"/>
    </w:p>
    <w:p w14:paraId="1414CDF0">
      <w:pPr>
        <w:ind w:firstLine="640" w:firstLineChars="200"/>
        <w:rPr>
          <w:rFonts w:ascii="仿宋_GB2312" w:eastAsia="仿宋_GB2312"/>
          <w:sz w:val="32"/>
          <w:szCs w:val="32"/>
        </w:rPr>
      </w:pPr>
      <w:r>
        <w:rPr>
          <w:rFonts w:ascii="仿宋_GB2312" w:eastAsia="仿宋_GB2312"/>
          <w:sz w:val="32"/>
          <w:szCs w:val="32"/>
        </w:rPr>
        <w:t>文化旅游体育与传媒支出</w:t>
      </w:r>
      <w:r>
        <w:rPr>
          <w:rFonts w:hint="eastAsia" w:ascii="仿宋_GB2312" w:eastAsia="仿宋_GB2312"/>
          <w:sz w:val="32"/>
          <w:szCs w:val="32"/>
        </w:rPr>
        <w:t>（类）607.29万元，占100</w:t>
      </w:r>
      <w:r>
        <w:rPr>
          <w:rFonts w:hint="eastAsia" w:ascii="仿宋_GB2312" w:eastAsia="仿宋_GB2312"/>
          <w:sz w:val="32"/>
          <w:szCs w:val="32"/>
          <w:lang w:val="en-US" w:eastAsia="zh-CN"/>
        </w:rPr>
        <w:t>.00</w:t>
      </w:r>
      <w:r>
        <w:rPr>
          <w:rFonts w:hint="eastAsia" w:ascii="仿宋_GB2312" w:eastAsia="仿宋_GB2312"/>
          <w:sz w:val="32"/>
          <w:szCs w:val="32"/>
        </w:rPr>
        <w:t>%</w:t>
      </w:r>
    </w:p>
    <w:p w14:paraId="03BB01A4">
      <w:pPr>
        <w:ind w:firstLine="640" w:firstLineChars="200"/>
        <w:outlineLvl w:val="2"/>
        <w:rPr>
          <w:rFonts w:ascii="黑体" w:hAnsi="黑体" w:eastAsia="黑体"/>
          <w:sz w:val="32"/>
          <w:szCs w:val="32"/>
        </w:rPr>
      </w:pPr>
      <w:bookmarkStart w:id="20" w:name="_Toc10037"/>
      <w:r>
        <w:rPr>
          <w:rFonts w:hint="eastAsia" w:ascii="黑体" w:hAnsi="黑体" w:eastAsia="黑体"/>
          <w:sz w:val="32"/>
          <w:szCs w:val="32"/>
        </w:rPr>
        <w:t>（三）一般公共预算财政拨款支出决算具体情况</w:t>
      </w:r>
      <w:bookmarkEnd w:id="20"/>
    </w:p>
    <w:p w14:paraId="020EDC2A">
      <w:pPr>
        <w:ind w:firstLine="640" w:firstLineChars="200"/>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1.文化旅游体育与传媒支出（类）文化和旅游（款）文其他文化和旅游支出（项）：支出决算数0.00万元，比上年决算减少20.00万元，下降100.00%，主要原因是：该项经费为2023年中央文化人才专项经费，而2024年没有该专项经费列支。</w:t>
      </w:r>
    </w:p>
    <w:p w14:paraId="0F01DE8A">
      <w:pPr>
        <w:ind w:firstLine="640" w:firstLineChars="200"/>
      </w:pPr>
      <w:r>
        <w:rPr>
          <w:rFonts w:hint="eastAsia" w:ascii="仿宋_GB2312" w:eastAsia="仿宋_GB2312"/>
          <w:sz w:val="32"/>
          <w:szCs w:val="32"/>
          <w:highlight w:val="none"/>
          <w:lang w:val="en-US" w:eastAsia="zh-CN"/>
        </w:rPr>
        <w:t>2.文化旅游体育与传媒支出（类）文物（款）文物保护（项）：支出决算数为607.29万元，比上年决算减少400.36万元，下降39.73%，主要原因是：上年使用财政拨款年初结转金额279.63万元，而本年无财政拨款年初结转金额，且本年财政拨款支出项目经费因部分项目例</w:t>
      </w:r>
      <w:r>
        <w:rPr>
          <w:rFonts w:hint="eastAsia" w:ascii="仿宋_GB2312" w:eastAsia="仿宋_GB2312"/>
          <w:sz w:val="32"/>
          <w:szCs w:val="32"/>
          <w:lang w:val="en-US" w:eastAsia="zh-CN"/>
        </w:rPr>
        <w:t>如“四有”工作经费、坎儿井保护工程1-7期效果评估、文保工程设计方案评审、文保工程事中事后检查验收等项目未完全结束经费报销，导致2024年部分项目指标金额结转至2025年预算中，财政拨款项目支出较上年减少。</w:t>
      </w:r>
    </w:p>
    <w:p w14:paraId="19E0B771">
      <w:pPr>
        <w:ind w:firstLine="640" w:firstLineChars="200"/>
        <w:outlineLvl w:val="1"/>
        <w:rPr>
          <w:rFonts w:ascii="黑体" w:hAnsi="黑体" w:eastAsia="黑体" w:cs="宋体"/>
          <w:bCs/>
          <w:kern w:val="0"/>
          <w:sz w:val="32"/>
          <w:szCs w:val="32"/>
        </w:rPr>
      </w:pPr>
      <w:bookmarkStart w:id="21" w:name="_Toc11146"/>
      <w:bookmarkStart w:id="22" w:name="_Toc23415"/>
      <w:r>
        <w:rPr>
          <w:rFonts w:hint="eastAsia" w:ascii="黑体" w:hAnsi="黑体" w:eastAsia="黑体" w:cs="宋体"/>
          <w:bCs/>
          <w:kern w:val="0"/>
          <w:sz w:val="32"/>
          <w:szCs w:val="32"/>
        </w:rPr>
        <w:t>六、一般公共预算财政拨款基本支出决算情况说明</w:t>
      </w:r>
      <w:bookmarkEnd w:id="21"/>
      <w:bookmarkEnd w:id="22"/>
    </w:p>
    <w:p w14:paraId="37755B88">
      <w:pPr>
        <w:ind w:firstLine="640" w:firstLineChars="200"/>
        <w:rPr>
          <w:rFonts w:ascii="仿宋_GB2312" w:eastAsia="仿宋_GB2312"/>
          <w:sz w:val="32"/>
          <w:szCs w:val="32"/>
        </w:rPr>
      </w:pPr>
      <w:r>
        <w:rPr>
          <w:rFonts w:hint="eastAsia" w:ascii="仿宋_GB2312" w:eastAsia="仿宋_GB2312"/>
          <w:sz w:val="32"/>
          <w:szCs w:val="32"/>
        </w:rPr>
        <w:t>2024年度一般公共预算财政拨款基本支出454.55万元，其中：</w:t>
      </w:r>
      <w:r>
        <w:rPr>
          <w:rFonts w:hint="eastAsia" w:ascii="仿宋_GB2312" w:eastAsia="仿宋_GB2312"/>
          <w:b/>
          <w:bCs/>
          <w:sz w:val="32"/>
          <w:szCs w:val="32"/>
        </w:rPr>
        <w:t>人员经费424.42万元，</w:t>
      </w:r>
      <w:r>
        <w:rPr>
          <w:rFonts w:hint="eastAsia" w:ascii="仿宋_GB2312" w:eastAsia="仿宋_GB2312"/>
          <w:sz w:val="32"/>
          <w:szCs w:val="32"/>
        </w:rPr>
        <w:t>包括：基本工资、津贴补贴、奖金、伙食补助费、绩效工资、机关事业单位基本养老保险缴费、职业年金缴费、职工基本医疗保险缴费、公务员医疗补助缴费、其他社会保障缴费、住房公积金、退休费、其他对个人和家庭的补助。</w:t>
      </w:r>
    </w:p>
    <w:p w14:paraId="3D073778">
      <w:pPr>
        <w:ind w:firstLine="643" w:firstLineChars="200"/>
        <w:rPr>
          <w:rFonts w:ascii="仿宋_GB2312" w:eastAsia="仿宋_GB2312"/>
          <w:b/>
          <w:color w:val="0000FF"/>
          <w:sz w:val="32"/>
          <w:szCs w:val="32"/>
        </w:rPr>
      </w:pPr>
      <w:r>
        <w:rPr>
          <w:rFonts w:hint="eastAsia" w:ascii="仿宋_GB2312" w:eastAsia="仿宋_GB2312"/>
          <w:b/>
          <w:bCs/>
          <w:sz w:val="32"/>
          <w:szCs w:val="32"/>
        </w:rPr>
        <w:t>公用经费30.13万元，</w:t>
      </w:r>
      <w:r>
        <w:rPr>
          <w:rFonts w:hint="eastAsia" w:ascii="仿宋_GB2312" w:eastAsia="仿宋_GB2312"/>
          <w:sz w:val="32"/>
          <w:szCs w:val="32"/>
        </w:rPr>
        <w:t>包括：办公费、邮电费、取暖费、物业管理费、差旅费、工会经费、福利费、公务用车运行维护费、其他商品和服务支出。</w:t>
      </w:r>
    </w:p>
    <w:p w14:paraId="069F710B">
      <w:pPr>
        <w:ind w:firstLine="640" w:firstLineChars="200"/>
        <w:outlineLvl w:val="1"/>
        <w:rPr>
          <w:rFonts w:ascii="黑体" w:hAnsi="黑体" w:eastAsia="黑体" w:cs="宋体"/>
          <w:bCs/>
          <w:kern w:val="0"/>
          <w:sz w:val="32"/>
          <w:szCs w:val="32"/>
          <w:highlight w:val="none"/>
        </w:rPr>
      </w:pPr>
      <w:bookmarkStart w:id="23" w:name="_Toc7927"/>
      <w:bookmarkStart w:id="24" w:name="_Toc7523"/>
      <w:r>
        <w:rPr>
          <w:rFonts w:hint="eastAsia" w:ascii="黑体" w:hAnsi="黑体" w:eastAsia="黑体" w:cs="宋体"/>
          <w:bCs/>
          <w:kern w:val="0"/>
          <w:sz w:val="32"/>
          <w:szCs w:val="32"/>
          <w:highlight w:val="none"/>
        </w:rPr>
        <w:t>七、政府性基金预算财政拨款收入支出决算情况说明</w:t>
      </w:r>
      <w:bookmarkEnd w:id="23"/>
      <w:bookmarkEnd w:id="24"/>
    </w:p>
    <w:p w14:paraId="177AB017">
      <w:pPr>
        <w:ind w:firstLine="640" w:firstLineChars="200"/>
        <w:rPr>
          <w:rFonts w:hint="eastAsia" w:ascii="仿宋_GB2312" w:eastAsia="仿宋_GB2312"/>
          <w:color w:val="000000" w:themeColor="text1"/>
          <w:sz w:val="32"/>
          <w:szCs w:val="32"/>
          <w:highlight w:val="yellow"/>
          <w14:textFill>
            <w14:solidFill>
              <w14:schemeClr w14:val="tx1"/>
            </w14:solidFill>
          </w14:textFill>
        </w:rPr>
      </w:pPr>
      <w:r>
        <w:rPr>
          <w:rFonts w:hint="eastAsia" w:ascii="仿宋_GB2312" w:eastAsia="仿宋_GB2312"/>
          <w:sz w:val="32"/>
          <w:szCs w:val="32"/>
        </w:rPr>
        <w:t>本单位本年度无政府性基金预算财政拨款收入、支出及结转和结余，政府性基金预算财政拨款收入支出决算表为空表。</w:t>
      </w:r>
    </w:p>
    <w:p w14:paraId="4C8413B1">
      <w:pPr>
        <w:ind w:firstLine="640" w:firstLineChars="200"/>
        <w:outlineLvl w:val="1"/>
        <w:rPr>
          <w:rFonts w:ascii="黑体" w:hAnsi="黑体" w:eastAsia="黑体" w:cs="宋体"/>
          <w:bCs/>
          <w:kern w:val="0"/>
          <w:sz w:val="32"/>
          <w:szCs w:val="32"/>
        </w:rPr>
      </w:pPr>
      <w:bookmarkStart w:id="25" w:name="_Toc5563"/>
      <w:r>
        <w:rPr>
          <w:rFonts w:hint="eastAsia" w:ascii="黑体" w:hAnsi="黑体" w:eastAsia="黑体" w:cs="宋体"/>
          <w:bCs/>
          <w:kern w:val="0"/>
          <w:sz w:val="32"/>
          <w:szCs w:val="32"/>
        </w:rPr>
        <w:t>八、国有资本经营预算财政拨款收入支出决算情况说明</w:t>
      </w:r>
      <w:bookmarkEnd w:id="25"/>
    </w:p>
    <w:p w14:paraId="56DF1FDC">
      <w:pPr>
        <w:ind w:firstLine="640" w:firstLineChars="200"/>
        <w:rPr>
          <w:rFonts w:ascii="仿宋_GB2312" w:eastAsia="仿宋_GB2312"/>
          <w:sz w:val="32"/>
          <w:szCs w:val="32"/>
        </w:rPr>
      </w:pPr>
      <w:r>
        <w:rPr>
          <w:rFonts w:hint="eastAsia" w:ascii="仿宋_GB2312" w:eastAsia="仿宋_GB2312"/>
          <w:sz w:val="32"/>
          <w:szCs w:val="32"/>
        </w:rPr>
        <w:t>本单位本年度无国有资本经营预算财政拨款收入、支出及结转和结余，国有资本经营预算财政拨款收入支出决算表为空表。</w:t>
      </w:r>
    </w:p>
    <w:p w14:paraId="1C79F0BD"/>
    <w:p w14:paraId="6ABF8F1B">
      <w:pPr>
        <w:ind w:firstLine="640" w:firstLineChars="200"/>
        <w:outlineLvl w:val="1"/>
        <w:rPr>
          <w:rFonts w:ascii="黑体" w:hAnsi="黑体" w:eastAsia="黑体" w:cs="宋体"/>
          <w:bCs/>
          <w:kern w:val="0"/>
          <w:sz w:val="32"/>
          <w:szCs w:val="32"/>
        </w:rPr>
      </w:pPr>
      <w:bookmarkStart w:id="26" w:name="_Toc9161"/>
      <w:bookmarkStart w:id="27" w:name="_Toc7190"/>
      <w:r>
        <w:rPr>
          <w:rFonts w:hint="eastAsia" w:ascii="黑体" w:hAnsi="黑体" w:eastAsia="黑体" w:cs="宋体"/>
          <w:bCs/>
          <w:kern w:val="0"/>
          <w:sz w:val="32"/>
          <w:szCs w:val="32"/>
        </w:rPr>
        <w:t>九、财政拨款“三公”经费支出决算情况说明</w:t>
      </w:r>
      <w:bookmarkEnd w:id="26"/>
      <w:bookmarkEnd w:id="27"/>
    </w:p>
    <w:p w14:paraId="58B17D6F">
      <w:pPr>
        <w:ind w:firstLine="643" w:firstLineChars="200"/>
        <w:rPr>
          <w:rFonts w:hint="eastAsia" w:ascii="仿宋_GB2312" w:eastAsia="仿宋_GB2312"/>
          <w:color w:val="0000FF"/>
          <w:sz w:val="32"/>
          <w:szCs w:val="32"/>
        </w:rPr>
      </w:pPr>
      <w:r>
        <w:rPr>
          <w:rFonts w:hint="eastAsia" w:ascii="仿宋_GB2312" w:eastAsia="仿宋_GB2312"/>
          <w:b/>
          <w:bCs/>
          <w:sz w:val="32"/>
          <w:szCs w:val="32"/>
        </w:rPr>
        <w:t>2024年度财政拨款“三公”经费支出1.43万元，</w:t>
      </w:r>
      <w:r>
        <w:rPr>
          <w:rFonts w:hint="eastAsia" w:ascii="仿宋_GB2312" w:eastAsia="仿宋_GB2312"/>
          <w:sz w:val="32"/>
          <w:szCs w:val="32"/>
        </w:rPr>
        <w:t>比上</w:t>
      </w:r>
      <w:r>
        <w:rPr>
          <w:rFonts w:hint="eastAsia" w:ascii="仿宋_GB2312" w:eastAsia="仿宋_GB2312"/>
          <w:sz w:val="32"/>
          <w:szCs w:val="32"/>
          <w:highlight w:val="none"/>
        </w:rPr>
        <w:t>年减少0.65万元，下降31.25%，主要原因是：</w:t>
      </w:r>
      <w:r>
        <w:rPr>
          <w:rFonts w:hint="eastAsia" w:ascii="仿宋_GB2312" w:eastAsia="仿宋_GB2312"/>
          <w:sz w:val="32"/>
          <w:szCs w:val="32"/>
          <w:highlight w:val="none"/>
          <w:lang w:eastAsia="zh-CN"/>
        </w:rPr>
        <w:t>根据过紧日子要求，我单位</w:t>
      </w:r>
      <w:r>
        <w:rPr>
          <w:rFonts w:hint="eastAsia" w:ascii="仿宋_GB2312" w:eastAsia="仿宋_GB2312"/>
          <w:sz w:val="32"/>
          <w:szCs w:val="32"/>
          <w:highlight w:val="none"/>
          <w:lang w:val="en-US" w:eastAsia="zh-CN"/>
        </w:rPr>
        <w:t>2024年公务接待费及车辆运行维护费比上年有所减少，导致“三公”经费整体较上年下降。</w:t>
      </w:r>
      <w:r>
        <w:rPr>
          <w:rFonts w:hint="eastAsia" w:ascii="仿宋_GB2312" w:eastAsia="仿宋_GB2312"/>
          <w:sz w:val="32"/>
          <w:szCs w:val="32"/>
          <w:highlight w:val="none"/>
        </w:rPr>
        <w:t>其中：因公出国（境）费支出0.00万元，占0.00%，比上年增加0.00万元，增长0.00%，主要原因是：我单位2024年无因公出国（境）事项</w:t>
      </w:r>
      <w:r>
        <w:rPr>
          <w:rFonts w:hint="eastAsia" w:ascii="仿宋_GB2312" w:eastAsia="仿宋_GB2312"/>
          <w:sz w:val="32"/>
          <w:szCs w:val="32"/>
          <w:highlight w:val="none"/>
          <w:lang w:eastAsia="zh-CN"/>
        </w:rPr>
        <w:t>，所以导致因公出国经费支出</w:t>
      </w:r>
      <w:r>
        <w:rPr>
          <w:rFonts w:hint="eastAsia" w:ascii="仿宋_GB2312" w:eastAsia="仿宋_GB2312"/>
          <w:sz w:val="32"/>
          <w:szCs w:val="32"/>
          <w:highlight w:val="none"/>
        </w:rPr>
        <w:t>0.00</w:t>
      </w:r>
      <w:r>
        <w:rPr>
          <w:rFonts w:hint="eastAsia" w:ascii="仿宋_GB2312" w:eastAsia="仿宋_GB2312"/>
          <w:sz w:val="32"/>
          <w:szCs w:val="32"/>
          <w:highlight w:val="none"/>
          <w:lang w:val="en-US" w:eastAsia="zh-CN"/>
        </w:rPr>
        <w:t>万元。</w:t>
      </w:r>
      <w:r>
        <w:rPr>
          <w:rFonts w:hint="eastAsia" w:ascii="仿宋_GB2312" w:eastAsia="仿宋_GB2312"/>
          <w:sz w:val="32"/>
          <w:szCs w:val="32"/>
          <w:highlight w:val="none"/>
        </w:rPr>
        <w:t>公务用车购置及运行维护费支出1.43万元，占100%，比上年</w:t>
      </w:r>
      <w:r>
        <w:rPr>
          <w:rFonts w:hint="eastAsia" w:ascii="仿宋_GB2312" w:eastAsia="仿宋_GB2312"/>
          <w:sz w:val="32"/>
          <w:szCs w:val="32"/>
        </w:rPr>
        <w:t>减少0.47万元，下降24.74%，主要原因是：</w:t>
      </w:r>
      <w:r>
        <w:rPr>
          <w:rFonts w:hint="eastAsia" w:ascii="仿宋_GB2312" w:eastAsia="仿宋_GB2312"/>
          <w:sz w:val="32"/>
          <w:szCs w:val="32"/>
          <w:lang w:val="en-US" w:eastAsia="zh-CN"/>
        </w:rPr>
        <w:t>减少“三公”经费中公车运行维护费的支出</w:t>
      </w:r>
      <w:r>
        <w:rPr>
          <w:rFonts w:hint="eastAsia" w:ascii="仿宋_GB2312" w:eastAsia="仿宋_GB2312"/>
          <w:sz w:val="32"/>
          <w:szCs w:val="32"/>
        </w:rPr>
        <w:t>；公务接待费支出0.00万元，占0.00%，比上年减少0.18万元，</w:t>
      </w:r>
      <w:r>
        <w:rPr>
          <w:rFonts w:hint="eastAsia" w:ascii="仿宋_GB2312" w:hAnsi="Times New Roman" w:eastAsia="仿宋_GB2312" w:cs="Times New Roman"/>
          <w:sz w:val="32"/>
          <w:szCs w:val="32"/>
        </w:rPr>
        <w:t>下降100</w:t>
      </w:r>
      <w:r>
        <w:rPr>
          <w:rFonts w:hint="eastAsia" w:ascii="仿宋_GB2312" w:eastAsia="仿宋_GB2312" w:cs="Times New Roman"/>
          <w:sz w:val="32"/>
          <w:szCs w:val="32"/>
          <w:lang w:val="en-US" w:eastAsia="zh-CN"/>
        </w:rPr>
        <w:t>.00</w:t>
      </w:r>
      <w:r>
        <w:rPr>
          <w:rFonts w:hint="eastAsia" w:ascii="仿宋_GB2312" w:hAnsi="Times New Roman" w:eastAsia="仿宋_GB2312" w:cs="Times New Roman"/>
          <w:sz w:val="32"/>
          <w:szCs w:val="32"/>
        </w:rPr>
        <w:t>%，主要原因是：我单位2024年无公务接待事项，未产生相关费用。</w:t>
      </w:r>
    </w:p>
    <w:p w14:paraId="008CF6E5">
      <w:pPr>
        <w:ind w:firstLine="643" w:firstLineChars="200"/>
        <w:rPr>
          <w:rFonts w:ascii="仿宋_GB2312" w:eastAsia="仿宋_GB2312"/>
          <w:b/>
          <w:bCs/>
          <w:sz w:val="32"/>
          <w:szCs w:val="32"/>
        </w:rPr>
      </w:pPr>
      <w:r>
        <w:rPr>
          <w:rFonts w:hint="eastAsia" w:ascii="仿宋_GB2312" w:eastAsia="仿宋_GB2312"/>
          <w:b/>
          <w:bCs/>
          <w:sz w:val="32"/>
          <w:szCs w:val="32"/>
        </w:rPr>
        <w:t>具体情况如下：</w:t>
      </w:r>
    </w:p>
    <w:p w14:paraId="671BBF24">
      <w:pPr>
        <w:ind w:firstLine="640" w:firstLineChars="200"/>
        <w:rPr>
          <w:rFonts w:ascii="仿宋_GB2312" w:eastAsia="仿宋_GB2312"/>
          <w:sz w:val="32"/>
          <w:szCs w:val="32"/>
          <w:highlight w:val="none"/>
        </w:rPr>
      </w:pPr>
      <w:r>
        <w:rPr>
          <w:rFonts w:hint="eastAsia" w:ascii="仿宋_GB2312" w:eastAsia="仿宋_GB2312"/>
          <w:sz w:val="32"/>
          <w:szCs w:val="32"/>
          <w:highlight w:val="none"/>
        </w:rPr>
        <w:t>因公出国（境）费支出0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万元，我单位2024无因公出国（境）费开支内容。单位全年安排的因公出国（境）团组0个，因公出国（境）0人次。</w:t>
      </w:r>
    </w:p>
    <w:p w14:paraId="5604A506">
      <w:pPr>
        <w:ind w:firstLine="640" w:firstLineChars="200"/>
        <w:rPr>
          <w:rFonts w:hint="eastAsia" w:ascii="仿宋_GB2312" w:eastAsia="仿宋_GB2312"/>
          <w:sz w:val="32"/>
          <w:szCs w:val="32"/>
        </w:rPr>
      </w:pPr>
      <w:r>
        <w:rPr>
          <w:rFonts w:hint="eastAsia" w:ascii="仿宋_GB2312" w:eastAsia="仿宋_GB2312"/>
          <w:sz w:val="32"/>
          <w:szCs w:val="32"/>
          <w:highlight w:val="none"/>
        </w:rPr>
        <w:t>公务用车购置及运行维护费1.43万元，其中：公务用车购置费0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万元，公务用车运行维护费1.43万元。公务用车运行维护费开支内容包括燃油费，维修费，保险费。公务用车购置数0辆，公务用车保有量4辆</w:t>
      </w:r>
      <w:r>
        <w:rPr>
          <w:rFonts w:hint="eastAsia" w:ascii="仿宋_GB2312" w:eastAsia="仿宋_GB2312"/>
          <w:sz w:val="32"/>
          <w:szCs w:val="32"/>
        </w:rPr>
        <w:t>。国有资产占用情况中固定资产车辆4辆，与公务用车保有量差异原因是：</w:t>
      </w:r>
      <w:r>
        <w:rPr>
          <w:rFonts w:hint="eastAsia" w:ascii="仿宋_GB2312" w:eastAsia="仿宋_GB2312"/>
          <w:sz w:val="32"/>
          <w:szCs w:val="32"/>
          <w:lang w:val="en-US" w:eastAsia="zh-CN"/>
        </w:rPr>
        <w:t>无差异</w:t>
      </w:r>
      <w:r>
        <w:rPr>
          <w:rFonts w:hint="eastAsia" w:ascii="仿宋_GB2312" w:eastAsia="仿宋_GB2312"/>
          <w:sz w:val="32"/>
          <w:szCs w:val="32"/>
        </w:rPr>
        <w:t>。</w:t>
      </w:r>
    </w:p>
    <w:p w14:paraId="3D021D8E">
      <w:pPr>
        <w:ind w:firstLine="640" w:firstLineChars="200"/>
        <w:rPr>
          <w:rFonts w:ascii="仿宋_GB2312" w:eastAsia="仿宋_GB2312"/>
          <w:sz w:val="32"/>
          <w:szCs w:val="32"/>
          <w:highlight w:val="none"/>
        </w:rPr>
      </w:pPr>
      <w:r>
        <w:rPr>
          <w:rFonts w:hint="eastAsia" w:ascii="仿宋_GB2312" w:eastAsia="仿宋_GB2312"/>
          <w:sz w:val="32"/>
          <w:szCs w:val="32"/>
          <w:highlight w:val="none"/>
        </w:rPr>
        <w:t>公务接待费0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万元，我单位2024年无公务接待费开支内容。单位全年安排的国内公务接待0批次，0人次。</w:t>
      </w:r>
    </w:p>
    <w:p w14:paraId="2767548A">
      <w:pPr>
        <w:ind w:firstLine="643" w:firstLineChars="200"/>
        <w:rPr>
          <w:rFonts w:ascii="仿宋_GB2312" w:eastAsia="仿宋_GB2312"/>
          <w:color w:val="0000FF"/>
          <w:sz w:val="32"/>
          <w:szCs w:val="32"/>
          <w:highlight w:val="none"/>
        </w:rPr>
      </w:pPr>
      <w:r>
        <w:rPr>
          <w:rFonts w:hint="eastAsia" w:ascii="仿宋_GB2312" w:eastAsia="仿宋_GB2312"/>
          <w:b/>
          <w:bCs/>
          <w:sz w:val="32"/>
          <w:szCs w:val="32"/>
          <w:highlight w:val="none"/>
        </w:rPr>
        <w:t>与全年预算相比，</w:t>
      </w:r>
      <w:r>
        <w:rPr>
          <w:rFonts w:hint="eastAsia" w:ascii="仿宋_GB2312" w:eastAsia="仿宋_GB2312"/>
          <w:sz w:val="32"/>
          <w:szCs w:val="32"/>
          <w:highlight w:val="none"/>
        </w:rPr>
        <w:t>财政拨款“三公”经费支出全年预算数1.43万元，决算数1.43万元，预决算差异率0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%，主要原因是：</w:t>
      </w:r>
      <w:r>
        <w:rPr>
          <w:rFonts w:hint="eastAsia" w:ascii="仿宋_GB2312" w:eastAsia="仿宋_GB2312"/>
          <w:sz w:val="32"/>
          <w:szCs w:val="32"/>
          <w:highlight w:val="none"/>
          <w:lang w:eastAsia="zh-CN"/>
        </w:rPr>
        <w:t>我单位严格按照年初预算执行，导致预决算差异率为</w:t>
      </w:r>
      <w:r>
        <w:rPr>
          <w:rFonts w:hint="eastAsia" w:ascii="仿宋_GB2312" w:eastAsia="仿宋_GB2312"/>
          <w:sz w:val="32"/>
          <w:szCs w:val="32"/>
          <w:highlight w:val="none"/>
        </w:rPr>
        <w:t>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%。其中：因公出国（境）费全年预算数0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万元，决算数0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万元，预决算差异率0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%，主要原因是：</w:t>
      </w:r>
      <w:r>
        <w:rPr>
          <w:rFonts w:hint="eastAsia" w:ascii="仿宋_GB2312" w:eastAsia="仿宋_GB2312"/>
          <w:sz w:val="32"/>
          <w:szCs w:val="32"/>
          <w:highlight w:val="none"/>
          <w:lang w:val="en-US" w:eastAsia="zh-CN"/>
        </w:rPr>
        <w:t>我单位没有安排因公出国（境）费用预算，全年也没有发生该项费用，所以预决算差异率为</w:t>
      </w:r>
      <w:r>
        <w:rPr>
          <w:rFonts w:hint="eastAsia" w:ascii="仿宋_GB2312" w:eastAsia="仿宋_GB2312"/>
          <w:sz w:val="32"/>
          <w:szCs w:val="32"/>
          <w:highlight w:val="none"/>
        </w:rPr>
        <w:t>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公务用车购置</w:t>
      </w:r>
      <w:r>
        <w:rPr>
          <w:rFonts w:hint="eastAsia" w:ascii="仿宋_GB2312" w:eastAsia="仿宋_GB2312"/>
          <w:sz w:val="32"/>
          <w:szCs w:val="32"/>
          <w:highlight w:val="none"/>
        </w:rPr>
        <w:t>费全年预算数0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万元，决算数0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万元，预决算差异率0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%，主要原因是：</w:t>
      </w:r>
      <w:r>
        <w:rPr>
          <w:rFonts w:hint="eastAsia" w:ascii="仿宋_GB2312" w:eastAsia="仿宋_GB2312"/>
          <w:sz w:val="32"/>
          <w:szCs w:val="32"/>
          <w:highlight w:val="none"/>
          <w:lang w:val="en-US" w:eastAsia="zh-CN"/>
        </w:rPr>
        <w:t>我单位没有安排公务用车购置费预算，全年也没有发生该项费用，所以预决算差异率为</w:t>
      </w:r>
      <w:r>
        <w:rPr>
          <w:rFonts w:hint="eastAsia" w:ascii="仿宋_GB2312" w:eastAsia="仿宋_GB2312"/>
          <w:sz w:val="32"/>
          <w:szCs w:val="32"/>
          <w:highlight w:val="none"/>
        </w:rPr>
        <w:t>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；公务用</w:t>
      </w:r>
      <w:r>
        <w:rPr>
          <w:rFonts w:hint="eastAsia" w:ascii="仿宋_GB2312" w:eastAsia="仿宋_GB2312"/>
          <w:sz w:val="32"/>
          <w:szCs w:val="32"/>
        </w:rPr>
        <w:t>车</w:t>
      </w:r>
      <w:r>
        <w:rPr>
          <w:rFonts w:hint="eastAsia" w:ascii="仿宋_GB2312" w:eastAsia="仿宋_GB2312"/>
          <w:sz w:val="32"/>
          <w:szCs w:val="32"/>
          <w:highlight w:val="none"/>
        </w:rPr>
        <w:t>运行</w:t>
      </w:r>
      <w:r>
        <w:rPr>
          <w:rFonts w:hint="eastAsia" w:ascii="仿宋_GB2312" w:eastAsia="仿宋_GB2312"/>
          <w:sz w:val="32"/>
          <w:szCs w:val="32"/>
          <w:highlight w:val="none"/>
          <w:lang w:val="en-US" w:eastAsia="zh-CN"/>
        </w:rPr>
        <w:t>维护</w:t>
      </w:r>
      <w:r>
        <w:rPr>
          <w:rFonts w:hint="eastAsia" w:ascii="仿宋_GB2312" w:eastAsia="仿宋_GB2312"/>
          <w:sz w:val="32"/>
          <w:szCs w:val="32"/>
          <w:highlight w:val="none"/>
        </w:rPr>
        <w:t>费</w:t>
      </w:r>
      <w:r>
        <w:rPr>
          <w:rFonts w:hint="eastAsia" w:ascii="仿宋_GB2312" w:hAnsi="宋体" w:eastAsia="仿宋_GB2312" w:cs="宋体"/>
          <w:kern w:val="0"/>
          <w:sz w:val="32"/>
          <w:szCs w:val="32"/>
          <w:highlight w:val="none"/>
        </w:rPr>
        <w:t>全年</w:t>
      </w:r>
      <w:r>
        <w:rPr>
          <w:rFonts w:hint="eastAsia" w:ascii="仿宋_GB2312" w:eastAsia="仿宋_GB2312"/>
          <w:sz w:val="32"/>
          <w:szCs w:val="32"/>
          <w:highlight w:val="none"/>
        </w:rPr>
        <w:t>预算数1.43万元，决算数1.43万元，预决算差异率0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%，主要原因是：</w:t>
      </w:r>
      <w:r>
        <w:rPr>
          <w:rFonts w:hint="eastAsia" w:ascii="仿宋_GB2312" w:eastAsia="仿宋_GB2312"/>
          <w:sz w:val="32"/>
          <w:szCs w:val="32"/>
          <w:highlight w:val="none"/>
          <w:lang w:eastAsia="zh-CN"/>
        </w:rPr>
        <w:t>我单位</w:t>
      </w:r>
      <w:r>
        <w:rPr>
          <w:rFonts w:hint="eastAsia" w:ascii="仿宋_GB2312" w:eastAsia="仿宋_GB2312"/>
          <w:sz w:val="32"/>
          <w:szCs w:val="32"/>
          <w:highlight w:val="none"/>
          <w:lang w:val="en-US" w:eastAsia="zh-CN"/>
        </w:rPr>
        <w:t>公务用车运行维护费</w:t>
      </w:r>
      <w:r>
        <w:rPr>
          <w:rFonts w:hint="eastAsia" w:ascii="仿宋_GB2312" w:eastAsia="仿宋_GB2312"/>
          <w:sz w:val="32"/>
          <w:szCs w:val="32"/>
          <w:highlight w:val="none"/>
          <w:lang w:eastAsia="zh-CN"/>
        </w:rPr>
        <w:t>严格按照年初预算执行，导致预决算差异率为</w:t>
      </w:r>
      <w:r>
        <w:rPr>
          <w:rFonts w:hint="eastAsia" w:ascii="仿宋_GB2312" w:eastAsia="仿宋_GB2312"/>
          <w:sz w:val="32"/>
          <w:szCs w:val="32"/>
          <w:highlight w:val="none"/>
        </w:rPr>
        <w:t>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%。公务接待费全年预算数0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万元，决算数0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万元，预决算差异率0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%，主要原因是：</w:t>
      </w:r>
      <w:r>
        <w:rPr>
          <w:rFonts w:hint="eastAsia" w:ascii="仿宋_GB2312" w:eastAsia="仿宋_GB2312"/>
          <w:sz w:val="32"/>
          <w:szCs w:val="32"/>
          <w:highlight w:val="none"/>
          <w:lang w:val="en-US" w:eastAsia="zh-CN"/>
        </w:rPr>
        <w:t>我单位没有安排公务接待费预算，全年也没有发生该项费用，所以预决算差异率为</w:t>
      </w:r>
      <w:r>
        <w:rPr>
          <w:rFonts w:hint="eastAsia" w:ascii="仿宋_GB2312" w:eastAsia="仿宋_GB2312"/>
          <w:sz w:val="32"/>
          <w:szCs w:val="32"/>
          <w:highlight w:val="none"/>
        </w:rPr>
        <w:t>0</w:t>
      </w:r>
      <w:r>
        <w:rPr>
          <w:rFonts w:hint="eastAsia" w:ascii="仿宋_GB2312" w:eastAsia="仿宋_GB2312"/>
          <w:sz w:val="32"/>
          <w:szCs w:val="32"/>
          <w:highlight w:val="none"/>
          <w:lang w:val="en-US" w:eastAsia="zh-CN"/>
        </w:rPr>
        <w:t>.00%。</w:t>
      </w:r>
    </w:p>
    <w:p w14:paraId="6C8391D0">
      <w:pPr>
        <w:ind w:firstLine="640" w:firstLineChars="200"/>
        <w:outlineLvl w:val="1"/>
        <w:rPr>
          <w:rFonts w:ascii="黑体" w:hAnsi="黑体" w:eastAsia="黑体" w:cs="宋体"/>
          <w:bCs/>
          <w:kern w:val="0"/>
          <w:sz w:val="32"/>
          <w:szCs w:val="32"/>
        </w:rPr>
      </w:pPr>
      <w:bookmarkStart w:id="28" w:name="_Toc7314"/>
      <w:bookmarkStart w:id="29" w:name="_Toc16395"/>
      <w:r>
        <w:rPr>
          <w:rFonts w:hint="eastAsia" w:ascii="黑体" w:hAnsi="黑体" w:eastAsia="黑体" w:cs="宋体"/>
          <w:bCs/>
          <w:kern w:val="0"/>
          <w:sz w:val="32"/>
          <w:szCs w:val="32"/>
        </w:rPr>
        <w:t>十、其他重要事项的情况说明</w:t>
      </w:r>
      <w:bookmarkEnd w:id="28"/>
      <w:bookmarkEnd w:id="29"/>
    </w:p>
    <w:p w14:paraId="43544361">
      <w:pPr>
        <w:ind w:firstLine="640" w:firstLineChars="200"/>
        <w:outlineLvl w:val="2"/>
        <w:rPr>
          <w:rFonts w:ascii="黑体" w:hAnsi="黑体" w:eastAsia="黑体"/>
          <w:sz w:val="32"/>
          <w:szCs w:val="32"/>
        </w:rPr>
      </w:pPr>
      <w:bookmarkStart w:id="30" w:name="_Toc13105"/>
      <w:bookmarkStart w:id="31" w:name="_Toc21748"/>
      <w:r>
        <w:rPr>
          <w:rFonts w:hint="eastAsia" w:ascii="黑体" w:hAnsi="黑体" w:eastAsia="黑体"/>
          <w:sz w:val="32"/>
          <w:szCs w:val="32"/>
        </w:rPr>
        <w:t>（一）机关运行经费及公用经费支出情况</w:t>
      </w:r>
      <w:bookmarkEnd w:id="30"/>
      <w:bookmarkEnd w:id="31"/>
    </w:p>
    <w:p w14:paraId="7F813343">
      <w:pPr>
        <w:ind w:firstLine="640" w:firstLineChars="200"/>
        <w:rPr>
          <w:rFonts w:hint="eastAsia" w:ascii="仿宋_GB2312" w:eastAsia="仿宋_GB2312"/>
          <w:sz w:val="32"/>
          <w:szCs w:val="32"/>
        </w:rPr>
      </w:pPr>
      <w:r>
        <w:rPr>
          <w:rFonts w:hint="eastAsia" w:ascii="仿宋_GB2312" w:eastAsia="仿宋_GB2312"/>
          <w:sz w:val="32"/>
          <w:szCs w:val="32"/>
        </w:rPr>
        <w:t>2024年度新疆维吾尔自治区文化遗产保护中心</w:t>
      </w:r>
      <w:r>
        <w:rPr>
          <w:rFonts w:hint="eastAsia" w:ascii="仿宋_GB2312" w:eastAsia="仿宋_GB2312"/>
          <w:sz w:val="32"/>
          <w:szCs w:val="32"/>
          <w:lang w:eastAsia="zh-CN"/>
        </w:rPr>
        <w:t>（事业单位）</w:t>
      </w:r>
      <w:r>
        <w:rPr>
          <w:rFonts w:hint="eastAsia" w:ascii="仿宋_GB2312" w:eastAsia="仿宋_GB2312"/>
          <w:sz w:val="32"/>
          <w:szCs w:val="32"/>
        </w:rPr>
        <w:t>公用经费支出30.13万元，比上年减少1.31万元，下降4.17%，主要原因是：</w:t>
      </w:r>
      <w:r>
        <w:rPr>
          <w:rFonts w:hint="eastAsia" w:ascii="仿宋_GB2312" w:eastAsia="仿宋_GB2312"/>
          <w:sz w:val="32"/>
          <w:szCs w:val="32"/>
          <w:lang w:val="en-US" w:eastAsia="zh-CN"/>
        </w:rPr>
        <w:t>在职减少一人，减少相关公用经费支出</w:t>
      </w:r>
      <w:r>
        <w:rPr>
          <w:rFonts w:hint="eastAsia" w:ascii="仿宋_GB2312" w:eastAsia="仿宋_GB2312"/>
          <w:sz w:val="32"/>
          <w:szCs w:val="32"/>
        </w:rPr>
        <w:t>。</w:t>
      </w:r>
      <w:bookmarkStart w:id="32" w:name="_Toc25177"/>
      <w:bookmarkStart w:id="33" w:name="_Toc26704"/>
    </w:p>
    <w:p w14:paraId="68CA9A86">
      <w:pPr>
        <w:ind w:firstLine="640" w:firstLineChars="200"/>
        <w:rPr>
          <w:rFonts w:ascii="仿宋_GB2312" w:eastAsia="仿宋_GB2312"/>
          <w:color w:val="0000FF"/>
          <w:sz w:val="32"/>
          <w:szCs w:val="32"/>
        </w:rPr>
      </w:pPr>
      <w:r>
        <w:rPr>
          <w:rFonts w:hint="eastAsia" w:ascii="黑体" w:hAnsi="黑体" w:eastAsia="黑体"/>
          <w:sz w:val="32"/>
          <w:szCs w:val="32"/>
        </w:rPr>
        <w:t>（二）政府采购情况</w:t>
      </w:r>
      <w:bookmarkEnd w:id="32"/>
      <w:bookmarkEnd w:id="33"/>
    </w:p>
    <w:p w14:paraId="71FA90D7">
      <w:pPr>
        <w:ind w:firstLine="640" w:firstLineChars="200"/>
        <w:outlineLvl w:val="1"/>
        <w:rPr>
          <w:rFonts w:ascii="仿宋_GB2312" w:eastAsia="仿宋_GB2312"/>
          <w:sz w:val="32"/>
          <w:szCs w:val="32"/>
          <w:highlight w:val="none"/>
        </w:rPr>
      </w:pPr>
      <w:r>
        <w:rPr>
          <w:rFonts w:hint="eastAsia" w:ascii="仿宋_GB2312" w:eastAsia="仿宋_GB2312"/>
          <w:sz w:val="32"/>
          <w:szCs w:val="32"/>
        </w:rPr>
        <w:t>2024年度政府采购支出总额100.</w:t>
      </w:r>
      <w:r>
        <w:rPr>
          <w:rFonts w:hint="eastAsia" w:ascii="仿宋_GB2312" w:eastAsia="仿宋_GB2312"/>
          <w:sz w:val="32"/>
          <w:szCs w:val="32"/>
          <w:highlight w:val="none"/>
        </w:rPr>
        <w:t>59万元，其中：政府采购货物支出33.50万元、政府采购工程支出0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万元、政府采购服务支出67.09万元。</w:t>
      </w:r>
    </w:p>
    <w:p w14:paraId="70DC3414">
      <w:pPr>
        <w:ind w:firstLine="640" w:firstLineChars="200"/>
        <w:outlineLvl w:val="1"/>
        <w:rPr>
          <w:rFonts w:ascii="仿宋_GB2312" w:eastAsia="仿宋_GB2312"/>
          <w:color w:val="0000FF"/>
          <w:sz w:val="32"/>
          <w:szCs w:val="32"/>
        </w:rPr>
      </w:pPr>
      <w:r>
        <w:rPr>
          <w:rFonts w:hint="eastAsia" w:ascii="仿宋_GB2312" w:eastAsia="仿宋_GB2312"/>
          <w:sz w:val="32"/>
          <w:szCs w:val="32"/>
          <w:highlight w:val="none"/>
        </w:rPr>
        <w:t>授予中小企业合同金额100.59万元，占政府采</w:t>
      </w:r>
      <w:r>
        <w:rPr>
          <w:rFonts w:hint="eastAsia" w:ascii="仿宋_GB2312" w:eastAsia="仿宋_GB2312"/>
          <w:sz w:val="32"/>
          <w:szCs w:val="32"/>
        </w:rPr>
        <w:t>购支出总额的100</w:t>
      </w:r>
      <w:r>
        <w:rPr>
          <w:rFonts w:hint="eastAsia" w:ascii="仿宋_GB2312" w:eastAsia="仿宋_GB2312"/>
          <w:sz w:val="32"/>
          <w:szCs w:val="32"/>
          <w:lang w:val="en-US" w:eastAsia="zh-CN"/>
        </w:rPr>
        <w:t>.00</w:t>
      </w:r>
      <w:r>
        <w:rPr>
          <w:rFonts w:hint="eastAsia" w:ascii="仿宋_GB2312" w:eastAsia="仿宋_GB2312"/>
          <w:sz w:val="32"/>
          <w:szCs w:val="32"/>
        </w:rPr>
        <w:t>%，其中：授予小微企业合同金额100.59万元，占政府采购支出总额的100</w:t>
      </w:r>
      <w:r>
        <w:rPr>
          <w:rFonts w:hint="eastAsia" w:ascii="仿宋_GB2312" w:eastAsia="仿宋_GB2312"/>
          <w:sz w:val="32"/>
          <w:szCs w:val="32"/>
          <w:lang w:val="en-US" w:eastAsia="zh-CN"/>
        </w:rPr>
        <w:t>.00</w:t>
      </w:r>
      <w:r>
        <w:rPr>
          <w:rFonts w:hint="eastAsia" w:ascii="仿宋_GB2312" w:eastAsia="仿宋_GB2312"/>
          <w:sz w:val="32"/>
          <w:szCs w:val="32"/>
        </w:rPr>
        <w:t>%。</w:t>
      </w:r>
    </w:p>
    <w:p w14:paraId="7709D0EA">
      <w:pPr>
        <w:ind w:firstLine="640" w:firstLineChars="200"/>
        <w:outlineLvl w:val="2"/>
        <w:rPr>
          <w:rFonts w:ascii="黑体" w:hAnsi="黑体" w:eastAsia="黑体"/>
          <w:sz w:val="32"/>
          <w:szCs w:val="32"/>
        </w:rPr>
      </w:pPr>
      <w:bookmarkStart w:id="34" w:name="_Toc31294"/>
      <w:bookmarkStart w:id="35" w:name="_Toc4591"/>
      <w:r>
        <w:rPr>
          <w:rFonts w:hint="eastAsia" w:ascii="黑体" w:hAnsi="黑体" w:eastAsia="黑体"/>
          <w:sz w:val="32"/>
          <w:szCs w:val="32"/>
        </w:rPr>
        <w:t>（三）国有资产占用情况说明</w:t>
      </w:r>
      <w:bookmarkEnd w:id="34"/>
      <w:bookmarkEnd w:id="35"/>
    </w:p>
    <w:p w14:paraId="3268FD20">
      <w:pPr>
        <w:ind w:firstLine="640" w:firstLineChars="200"/>
        <w:outlineLvl w:val="1"/>
        <w:rPr>
          <w:rFonts w:hint="eastAsia" w:ascii="仿宋_GB2312" w:eastAsia="仿宋_GB2312"/>
          <w:sz w:val="32"/>
          <w:szCs w:val="32"/>
        </w:rPr>
      </w:pPr>
      <w:r>
        <w:rPr>
          <w:rFonts w:hint="eastAsia" w:ascii="仿宋_GB2312" w:hAnsi="Times New Roman" w:eastAsia="仿宋_GB2312" w:cs="Times New Roman"/>
          <w:sz w:val="32"/>
          <w:szCs w:val="32"/>
        </w:rPr>
        <w:t>截至2024年12月31日，房屋430.00平方米，价值28.97万元。车</w:t>
      </w:r>
      <w:r>
        <w:rPr>
          <w:rFonts w:hint="eastAsia" w:ascii="仿宋_GB2312" w:eastAsia="仿宋_GB2312"/>
          <w:sz w:val="32"/>
          <w:szCs w:val="32"/>
        </w:rPr>
        <w:t>辆4辆，价值127.85万元，其中：副部（省）级及以上领导用车0辆、主要负责人用车0辆、机要通信用车0辆、应急保障用车0辆、执法执勤用车0辆、特种专业技术用车0辆、离退休干部服务用车0辆、其他用车4辆，其他用车主要是：</w:t>
      </w:r>
      <w:r>
        <w:rPr>
          <w:rFonts w:hint="eastAsia" w:eastAsia="仿宋_GB2312"/>
          <w:sz w:val="32"/>
          <w:szCs w:val="32"/>
          <w:lang w:val="zh-CN"/>
        </w:rPr>
        <w:t>用于本单位文物保护项目野外勘察、文保咨询评审项目等工作业务用车</w:t>
      </w:r>
      <w:r>
        <w:rPr>
          <w:rFonts w:hint="eastAsia" w:ascii="仿宋_GB2312" w:eastAsia="仿宋_GB2312"/>
          <w:sz w:val="32"/>
          <w:szCs w:val="32"/>
        </w:rPr>
        <w:t>；单价100万元（含）以上设备（不含车辆）0台（套）。</w:t>
      </w:r>
      <w:bookmarkStart w:id="36" w:name="_Toc17664"/>
      <w:bookmarkStart w:id="37" w:name="_Toc435"/>
    </w:p>
    <w:bookmarkEnd w:id="36"/>
    <w:bookmarkEnd w:id="37"/>
    <w:p w14:paraId="412F06F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仿宋_GB2312" w:eastAsia="仿宋_GB2312"/>
          <w:sz w:val="32"/>
          <w:szCs w:val="32"/>
        </w:rPr>
      </w:pPr>
      <w:r>
        <w:rPr>
          <w:rFonts w:hint="eastAsia" w:ascii="黑体" w:hAnsi="黑体" w:eastAsia="黑体" w:cs="宋体"/>
          <w:bCs/>
          <w:kern w:val="0"/>
          <w:sz w:val="32"/>
          <w:szCs w:val="32"/>
          <w:highlight w:val="none"/>
          <w:lang w:eastAsia="zh-CN"/>
        </w:rPr>
        <w:t>十</w:t>
      </w:r>
      <w:r>
        <w:rPr>
          <w:rFonts w:hint="eastAsia" w:ascii="黑体" w:hAnsi="黑体" w:eastAsia="黑体" w:cs="宋体"/>
          <w:bCs/>
          <w:kern w:val="0"/>
          <w:sz w:val="32"/>
          <w:szCs w:val="32"/>
          <w:highlight w:val="none"/>
          <w:lang w:val="en-US" w:eastAsia="zh-CN"/>
        </w:rPr>
        <w:t>一</w:t>
      </w:r>
      <w:r>
        <w:rPr>
          <w:rFonts w:hint="eastAsia" w:ascii="黑体" w:hAnsi="黑体" w:eastAsia="黑体" w:cs="宋体"/>
          <w:bCs/>
          <w:kern w:val="0"/>
          <w:sz w:val="32"/>
          <w:szCs w:val="32"/>
          <w:highlight w:val="none"/>
          <w:lang w:eastAsia="zh-CN"/>
        </w:rPr>
        <w:t>、预算绩效的情况说明</w:t>
      </w:r>
    </w:p>
    <w:p w14:paraId="7851EC03">
      <w:pPr>
        <w:autoSpaceDE w:val="0"/>
        <w:autoSpaceDN w:val="0"/>
        <w:ind w:firstLine="640" w:firstLineChars="200"/>
        <w:rPr>
          <w:rFonts w:hint="eastAsia" w:ascii="黑体" w:hAnsi="黑体" w:eastAsia="黑体" w:cs="宋体"/>
          <w:bCs/>
          <w:kern w:val="0"/>
          <w:sz w:val="32"/>
          <w:szCs w:val="32"/>
        </w:rPr>
      </w:pPr>
      <w:r>
        <w:rPr>
          <w:rFonts w:hint="eastAsia" w:ascii="仿宋_GB2312" w:eastAsia="仿宋_GB2312"/>
          <w:sz w:val="32"/>
          <w:szCs w:val="32"/>
        </w:rPr>
        <w:t>根据预算绩效管理要求，本单位2024年度预算绩效评价项目3个，全年预算数468.1</w:t>
      </w:r>
      <w:r>
        <w:rPr>
          <w:rFonts w:hint="eastAsia" w:ascii="仿宋_GB2312" w:eastAsia="仿宋_GB2312"/>
          <w:sz w:val="32"/>
          <w:szCs w:val="32"/>
          <w:lang w:val="en-US" w:eastAsia="zh-CN"/>
        </w:rPr>
        <w:t>0</w:t>
      </w:r>
      <w:r>
        <w:rPr>
          <w:rFonts w:hint="eastAsia" w:ascii="仿宋_GB2312" w:eastAsia="仿宋_GB2312"/>
          <w:sz w:val="32"/>
          <w:szCs w:val="32"/>
        </w:rPr>
        <w:t>万元，全年执行数198.22万元。预算绩效管理取得的成效：一是按照绩效目标管理工作的要求，结合各个科室业务工作内容，科学认真填报项目资金绩效目标，严格按照“谁申请资金，谁编制目标”的原则，科学合理编制绩效目标；二是推动事业单位将预算资金与工作目标紧密挂钩，避免了资金闲置、浪费等问题，让每一笔钱都用在“刀刃上”。发现的问题及原因：一是人员责任意识不到位，工作效能有待提高；二是管理机制需不断完善，责任需进一步明确。下一步改进措施：一是不断规范管理水</w:t>
      </w:r>
      <w:r>
        <w:rPr>
          <w:rFonts w:hint="eastAsia" w:ascii="仿宋_GB2312" w:eastAsia="仿宋_GB2312"/>
          <w:sz w:val="32"/>
          <w:szCs w:val="32"/>
          <w:lang w:eastAsia="zh-CN"/>
        </w:rPr>
        <w:t>平，</w:t>
      </w:r>
      <w:r>
        <w:rPr>
          <w:rFonts w:hint="eastAsia" w:ascii="仿宋_GB2312" w:eastAsia="仿宋_GB2312"/>
          <w:sz w:val="32"/>
          <w:szCs w:val="32"/>
        </w:rPr>
        <w:t>促使事业单位建立起预算绩效管理工作的全流程管理机制，明确各环节责任，减少管理漏洞，使预算绩效管理工作更具科学性和针对性。二是进一步强化责任意识</w:t>
      </w:r>
      <w:r>
        <w:rPr>
          <w:rFonts w:hint="eastAsia" w:ascii="仿宋_GB2312" w:eastAsia="仿宋_GB2312"/>
          <w:sz w:val="32"/>
          <w:szCs w:val="32"/>
          <w:lang w:eastAsia="zh-CN"/>
        </w:rPr>
        <w:t>，</w:t>
      </w:r>
      <w:r>
        <w:rPr>
          <w:rFonts w:hint="eastAsia" w:ascii="仿宋_GB2312" w:eastAsia="仿宋_GB2312"/>
          <w:sz w:val="32"/>
          <w:szCs w:val="32"/>
        </w:rPr>
        <w:t>明确各部门和人员在预算绩效管理工作的绩效责任，强化“花钱必问效、无效必问责”的理念，推动事业单位工作人员更加重视预算绩效管理工作</w:t>
      </w:r>
      <w:r>
        <w:rPr>
          <w:rFonts w:hint="eastAsia" w:ascii="仿宋_GB2312" w:eastAsia="仿宋_GB2312"/>
          <w:color w:val="auto"/>
          <w:sz w:val="32"/>
          <w:szCs w:val="32"/>
        </w:rPr>
        <w:t>。</w:t>
      </w:r>
      <w:r>
        <w:rPr>
          <w:rFonts w:hint="eastAsia" w:ascii="仿宋_GB2312" w:eastAsia="仿宋_GB2312"/>
          <w:sz w:val="32"/>
          <w:szCs w:val="32"/>
          <w:highlight w:val="none"/>
          <w:lang w:val="en-US" w:eastAsia="zh-CN"/>
        </w:rPr>
        <w:t>具体附</w:t>
      </w:r>
      <w:r>
        <w:rPr>
          <w:rFonts w:hint="eastAsia" w:ascii="仿宋_GB2312" w:hAnsi="仿宋_GB2312" w:eastAsia="仿宋_GB2312" w:cs="仿宋_GB2312"/>
          <w:b w:val="0"/>
          <w:bCs w:val="0"/>
          <w:color w:val="000000"/>
          <w:kern w:val="0"/>
          <w:sz w:val="32"/>
          <w:szCs w:val="32"/>
          <w:lang w:val="en-US" w:eastAsia="zh-CN" w:bidi="ar"/>
        </w:rPr>
        <w:t>项目支出绩效自评表。</w:t>
      </w:r>
    </w:p>
    <w:p w14:paraId="5F1ECCE3">
      <w:pPr>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58A94C37">
      <w:pPr>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14:paraId="07F7EA6F">
      <w:pPr>
        <w:ind w:firstLine="640" w:firstLineChars="200"/>
        <w:rPr>
          <w:rFonts w:hint="eastAsia" w:ascii="仿宋_GB2312" w:hAnsi="仿宋_GB2312" w:eastAsia="仿宋_GB2312" w:cs="仿宋_GB2312"/>
          <w:kern w:val="0"/>
          <w:sz w:val="32"/>
          <w:szCs w:val="32"/>
        </w:rPr>
      </w:pPr>
    </w:p>
    <w:p w14:paraId="56342481">
      <w:pPr>
        <w:ind w:firstLine="640" w:firstLineChars="200"/>
        <w:rPr>
          <w:rFonts w:hint="eastAsia" w:ascii="仿宋_GB2312" w:hAnsi="仿宋_GB2312" w:eastAsia="仿宋_GB2312" w:cs="仿宋_GB2312"/>
          <w:kern w:val="0"/>
          <w:sz w:val="32"/>
          <w:szCs w:val="32"/>
        </w:rPr>
      </w:pPr>
    </w:p>
    <w:p w14:paraId="5835670C">
      <w:pPr>
        <w:ind w:firstLine="640" w:firstLineChars="200"/>
        <w:rPr>
          <w:rFonts w:hint="eastAsia" w:ascii="仿宋_GB2312" w:hAnsi="仿宋_GB2312" w:eastAsia="仿宋_GB2312" w:cs="仿宋_GB2312"/>
          <w:kern w:val="0"/>
          <w:sz w:val="32"/>
          <w:szCs w:val="32"/>
        </w:rPr>
      </w:pPr>
    </w:p>
    <w:p w14:paraId="72010740">
      <w:pPr>
        <w:ind w:firstLine="640" w:firstLineChars="200"/>
        <w:rPr>
          <w:rFonts w:hint="eastAsia" w:ascii="仿宋_GB2312" w:hAnsi="仿宋_GB2312" w:eastAsia="仿宋_GB2312" w:cs="仿宋_GB2312"/>
          <w:kern w:val="0"/>
          <w:sz w:val="32"/>
          <w:szCs w:val="32"/>
        </w:rPr>
      </w:pPr>
    </w:p>
    <w:p w14:paraId="6A818ABF">
      <w:pPr>
        <w:ind w:firstLine="640" w:firstLineChars="200"/>
        <w:rPr>
          <w:rFonts w:hint="eastAsia" w:ascii="仿宋_GB2312" w:hAnsi="仿宋_GB2312" w:eastAsia="仿宋_GB2312" w:cs="仿宋_GB2312"/>
          <w:kern w:val="0"/>
          <w:sz w:val="32"/>
          <w:szCs w:val="32"/>
        </w:rPr>
      </w:pPr>
    </w:p>
    <w:p w14:paraId="108FB5FE">
      <w:pPr>
        <w:ind w:firstLine="640" w:firstLineChars="200"/>
        <w:rPr>
          <w:rFonts w:hint="eastAsia" w:ascii="仿宋_GB2312" w:hAnsi="仿宋_GB2312" w:eastAsia="仿宋_GB2312" w:cs="仿宋_GB2312"/>
          <w:kern w:val="0"/>
          <w:sz w:val="32"/>
          <w:szCs w:val="32"/>
        </w:rPr>
      </w:pPr>
    </w:p>
    <w:p w14:paraId="625654FD">
      <w:pPr>
        <w:ind w:firstLine="640" w:firstLineChars="200"/>
        <w:rPr>
          <w:rFonts w:hint="eastAsia" w:ascii="仿宋_GB2312" w:hAnsi="仿宋_GB2312" w:eastAsia="仿宋_GB2312" w:cs="仿宋_GB2312"/>
          <w:kern w:val="0"/>
          <w:sz w:val="32"/>
          <w:szCs w:val="32"/>
          <w:lang w:val="en-US" w:eastAsia="zh-CN"/>
        </w:rPr>
      </w:pPr>
    </w:p>
    <w:p w14:paraId="6DD0B227">
      <w:pPr>
        <w:jc w:val="center"/>
        <w:outlineLvl w:val="0"/>
        <w:rPr>
          <w:rFonts w:ascii="黑体" w:hAnsi="黑体" w:eastAsia="黑体"/>
          <w:sz w:val="32"/>
          <w:szCs w:val="32"/>
        </w:rPr>
      </w:pPr>
      <w:bookmarkStart w:id="38" w:name="_Toc24143"/>
      <w:bookmarkStart w:id="39" w:name="_Toc30038"/>
      <w:r>
        <w:rPr>
          <w:rFonts w:hint="eastAsia" w:ascii="黑体" w:hAnsi="黑体" w:eastAsia="黑体"/>
          <w:sz w:val="32"/>
          <w:szCs w:val="32"/>
        </w:rPr>
        <w:t>第三部分 专业名词解释</w:t>
      </w:r>
      <w:bookmarkEnd w:id="38"/>
      <w:bookmarkEnd w:id="39"/>
    </w:p>
    <w:p w14:paraId="735992A0">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70AA05F9">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4A869671">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22E0240E">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45BED991">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1ECE083F">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12F11FB8">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1AFC8F3B">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838F978">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0A016D55">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65D026DF">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62B8488C">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07B2152E">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056B13B">
      <w:pPr>
        <w:ind w:firstLine="643" w:firstLineChars="200"/>
        <w:rPr>
          <w:rFonts w:hint="eastAsia"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535E7900">
      <w:pPr>
        <w:ind w:firstLine="640" w:firstLineChars="200"/>
        <w:rPr>
          <w:rFonts w:hint="eastAsia" w:ascii="仿宋_GB2312" w:eastAsia="仿宋_GB2312"/>
          <w:sz w:val="32"/>
          <w:szCs w:val="32"/>
        </w:rPr>
      </w:pPr>
    </w:p>
    <w:p w14:paraId="2C28C114">
      <w:pPr>
        <w:ind w:firstLine="640" w:firstLineChars="200"/>
        <w:rPr>
          <w:rFonts w:hint="eastAsia" w:ascii="仿宋_GB2312" w:eastAsia="仿宋_GB2312"/>
          <w:sz w:val="32"/>
          <w:szCs w:val="32"/>
        </w:rPr>
      </w:pPr>
    </w:p>
    <w:p w14:paraId="15018504">
      <w:pPr>
        <w:ind w:firstLine="640" w:firstLineChars="200"/>
        <w:rPr>
          <w:rFonts w:hint="eastAsia" w:ascii="仿宋_GB2312" w:eastAsia="仿宋_GB2312"/>
          <w:sz w:val="32"/>
          <w:szCs w:val="32"/>
        </w:rPr>
      </w:pPr>
    </w:p>
    <w:p w14:paraId="0B0BA42A">
      <w:pPr>
        <w:ind w:firstLine="640" w:firstLineChars="200"/>
        <w:rPr>
          <w:rFonts w:hint="eastAsia" w:ascii="仿宋_GB2312" w:eastAsia="仿宋_GB2312"/>
          <w:sz w:val="32"/>
          <w:szCs w:val="32"/>
        </w:rPr>
      </w:pPr>
    </w:p>
    <w:p w14:paraId="6664BC4C">
      <w:pPr>
        <w:ind w:firstLine="1920" w:firstLineChars="600"/>
        <w:jc w:val="left"/>
        <w:outlineLvl w:val="0"/>
        <w:rPr>
          <w:rFonts w:ascii="黑体" w:hAnsi="黑体" w:eastAsia="黑体"/>
          <w:sz w:val="32"/>
          <w:szCs w:val="32"/>
        </w:rPr>
      </w:pPr>
      <w:bookmarkStart w:id="40" w:name="_Toc6831"/>
      <w:r>
        <w:rPr>
          <w:rFonts w:hint="eastAsia" w:ascii="黑体" w:hAnsi="黑体" w:eastAsia="黑体"/>
          <w:sz w:val="32"/>
          <w:szCs w:val="32"/>
        </w:rPr>
        <w:t>第四部分 部门决算报表（见附表）</w:t>
      </w:r>
      <w:bookmarkEnd w:id="40"/>
    </w:p>
    <w:p w14:paraId="1EE0BE93">
      <w:pPr>
        <w:ind w:firstLine="640" w:firstLineChars="200"/>
        <w:outlineLvl w:val="1"/>
        <w:rPr>
          <w:rFonts w:ascii="仿宋_GB2312" w:hAnsi="仿宋_GB2312" w:eastAsia="仿宋_GB2312" w:cs="仿宋_GB2312"/>
          <w:bCs/>
          <w:kern w:val="0"/>
          <w:sz w:val="32"/>
          <w:szCs w:val="32"/>
        </w:rPr>
      </w:pPr>
      <w:bookmarkStart w:id="41" w:name="_Toc3845"/>
      <w:bookmarkStart w:id="42" w:name="_Toc6062"/>
      <w:r>
        <w:rPr>
          <w:rFonts w:hint="eastAsia" w:ascii="仿宋_GB2312" w:hAnsi="仿宋_GB2312" w:eastAsia="仿宋_GB2312" w:cs="仿宋_GB2312"/>
          <w:bCs/>
          <w:kern w:val="0"/>
          <w:sz w:val="32"/>
          <w:szCs w:val="32"/>
        </w:rPr>
        <w:t>一、《收入支出决算总表》</w:t>
      </w:r>
      <w:bookmarkEnd w:id="41"/>
      <w:bookmarkEnd w:id="42"/>
    </w:p>
    <w:p w14:paraId="429441A7">
      <w:pPr>
        <w:ind w:firstLine="640" w:firstLineChars="200"/>
        <w:outlineLvl w:val="1"/>
        <w:rPr>
          <w:rFonts w:ascii="仿宋_GB2312" w:hAnsi="仿宋_GB2312" w:eastAsia="仿宋_GB2312" w:cs="仿宋_GB2312"/>
          <w:bCs/>
          <w:kern w:val="0"/>
          <w:sz w:val="32"/>
          <w:szCs w:val="32"/>
        </w:rPr>
      </w:pPr>
      <w:bookmarkStart w:id="43" w:name="_Toc30364"/>
      <w:bookmarkStart w:id="44" w:name="_Toc11927"/>
      <w:r>
        <w:rPr>
          <w:rFonts w:hint="eastAsia" w:ascii="仿宋_GB2312" w:hAnsi="仿宋_GB2312" w:eastAsia="仿宋_GB2312" w:cs="仿宋_GB2312"/>
          <w:bCs/>
          <w:kern w:val="0"/>
          <w:sz w:val="32"/>
          <w:szCs w:val="32"/>
        </w:rPr>
        <w:t>二、《收入决算表》</w:t>
      </w:r>
      <w:bookmarkEnd w:id="43"/>
      <w:bookmarkEnd w:id="44"/>
    </w:p>
    <w:p w14:paraId="2CB3A087">
      <w:pPr>
        <w:ind w:firstLine="640" w:firstLineChars="200"/>
        <w:outlineLvl w:val="1"/>
        <w:rPr>
          <w:rFonts w:ascii="仿宋_GB2312" w:hAnsi="仿宋_GB2312" w:eastAsia="仿宋_GB2312" w:cs="仿宋_GB2312"/>
          <w:bCs/>
          <w:kern w:val="0"/>
          <w:sz w:val="32"/>
          <w:szCs w:val="32"/>
        </w:rPr>
      </w:pPr>
      <w:bookmarkStart w:id="45" w:name="_Toc7443"/>
      <w:bookmarkStart w:id="46" w:name="_Toc21304"/>
      <w:r>
        <w:rPr>
          <w:rFonts w:hint="eastAsia" w:ascii="仿宋_GB2312" w:hAnsi="仿宋_GB2312" w:eastAsia="仿宋_GB2312" w:cs="仿宋_GB2312"/>
          <w:bCs/>
          <w:kern w:val="0"/>
          <w:sz w:val="32"/>
          <w:szCs w:val="32"/>
        </w:rPr>
        <w:t>三、《支出决算表》</w:t>
      </w:r>
      <w:bookmarkEnd w:id="45"/>
      <w:bookmarkEnd w:id="46"/>
    </w:p>
    <w:p w14:paraId="3EF14FB2">
      <w:pPr>
        <w:ind w:firstLine="640" w:firstLineChars="200"/>
        <w:outlineLvl w:val="1"/>
        <w:rPr>
          <w:rFonts w:ascii="仿宋_GB2312" w:hAnsi="仿宋_GB2312" w:eastAsia="仿宋_GB2312" w:cs="仿宋_GB2312"/>
          <w:bCs/>
          <w:kern w:val="0"/>
          <w:sz w:val="32"/>
          <w:szCs w:val="32"/>
        </w:rPr>
      </w:pPr>
      <w:bookmarkStart w:id="47" w:name="_Toc14238"/>
      <w:bookmarkStart w:id="48" w:name="_Toc24884"/>
      <w:r>
        <w:rPr>
          <w:rFonts w:hint="eastAsia" w:ascii="仿宋_GB2312" w:hAnsi="仿宋_GB2312" w:eastAsia="仿宋_GB2312" w:cs="仿宋_GB2312"/>
          <w:bCs/>
          <w:kern w:val="0"/>
          <w:sz w:val="32"/>
          <w:szCs w:val="32"/>
        </w:rPr>
        <w:t>四、《财政拨款收入支出决算总表》</w:t>
      </w:r>
      <w:bookmarkEnd w:id="47"/>
      <w:bookmarkEnd w:id="48"/>
    </w:p>
    <w:p w14:paraId="57A55894">
      <w:pPr>
        <w:ind w:firstLine="640" w:firstLineChars="200"/>
        <w:outlineLvl w:val="1"/>
        <w:rPr>
          <w:rFonts w:ascii="仿宋_GB2312" w:hAnsi="仿宋_GB2312" w:eastAsia="仿宋_GB2312" w:cs="仿宋_GB2312"/>
          <w:bCs/>
          <w:kern w:val="0"/>
          <w:sz w:val="32"/>
          <w:szCs w:val="32"/>
        </w:rPr>
      </w:pPr>
      <w:bookmarkStart w:id="49" w:name="_Toc16518"/>
      <w:bookmarkStart w:id="50" w:name="_Toc10347"/>
      <w:r>
        <w:rPr>
          <w:rFonts w:hint="eastAsia" w:ascii="仿宋_GB2312" w:hAnsi="仿宋_GB2312" w:eastAsia="仿宋_GB2312" w:cs="仿宋_GB2312"/>
          <w:bCs/>
          <w:kern w:val="0"/>
          <w:sz w:val="32"/>
          <w:szCs w:val="32"/>
        </w:rPr>
        <w:t>五、《一般公共预算财政拨款支出决算表》</w:t>
      </w:r>
      <w:bookmarkEnd w:id="49"/>
      <w:bookmarkEnd w:id="50"/>
    </w:p>
    <w:p w14:paraId="5E1F6363">
      <w:pPr>
        <w:ind w:firstLine="640" w:firstLineChars="200"/>
        <w:outlineLvl w:val="1"/>
        <w:rPr>
          <w:rFonts w:ascii="仿宋_GB2312" w:hAnsi="仿宋_GB2312" w:eastAsia="仿宋_GB2312" w:cs="仿宋_GB2312"/>
          <w:bCs/>
          <w:kern w:val="0"/>
          <w:sz w:val="32"/>
          <w:szCs w:val="32"/>
        </w:rPr>
      </w:pPr>
      <w:bookmarkStart w:id="51" w:name="_Toc5626"/>
      <w:bookmarkStart w:id="52" w:name="_Toc20514"/>
      <w:r>
        <w:rPr>
          <w:rFonts w:hint="eastAsia" w:ascii="仿宋_GB2312" w:hAnsi="仿宋_GB2312" w:eastAsia="仿宋_GB2312" w:cs="仿宋_GB2312"/>
          <w:bCs/>
          <w:kern w:val="0"/>
          <w:sz w:val="32"/>
          <w:szCs w:val="32"/>
        </w:rPr>
        <w:t>六、《一般公共预算财政拨款基本支出决算表》</w:t>
      </w:r>
      <w:bookmarkEnd w:id="51"/>
      <w:bookmarkEnd w:id="52"/>
    </w:p>
    <w:p w14:paraId="6283E72B">
      <w:pPr>
        <w:ind w:firstLine="640" w:firstLineChars="200"/>
        <w:outlineLvl w:val="1"/>
        <w:rPr>
          <w:rFonts w:ascii="仿宋_GB2312" w:hAnsi="仿宋_GB2312" w:eastAsia="仿宋_GB2312" w:cs="仿宋_GB2312"/>
          <w:bCs/>
          <w:kern w:val="0"/>
          <w:sz w:val="32"/>
          <w:szCs w:val="32"/>
        </w:rPr>
      </w:pPr>
      <w:bookmarkStart w:id="53" w:name="_Toc5453"/>
      <w:bookmarkStart w:id="54" w:name="_Toc18055"/>
      <w:r>
        <w:rPr>
          <w:rFonts w:hint="eastAsia" w:ascii="仿宋_GB2312" w:hAnsi="仿宋_GB2312" w:eastAsia="仿宋_GB2312" w:cs="仿宋_GB2312"/>
          <w:bCs/>
          <w:kern w:val="0"/>
          <w:sz w:val="32"/>
          <w:szCs w:val="32"/>
        </w:rPr>
        <w:t>七、《政府性基金预算财政拨款收入支出决算表》</w:t>
      </w:r>
      <w:bookmarkEnd w:id="53"/>
      <w:bookmarkEnd w:id="54"/>
    </w:p>
    <w:p w14:paraId="48D98110">
      <w:pPr>
        <w:ind w:firstLine="640" w:firstLineChars="200"/>
        <w:outlineLvl w:val="1"/>
        <w:rPr>
          <w:rFonts w:ascii="仿宋_GB2312" w:hAnsi="仿宋_GB2312" w:eastAsia="仿宋_GB2312" w:cs="仿宋_GB2312"/>
          <w:bCs/>
          <w:kern w:val="0"/>
          <w:sz w:val="32"/>
          <w:szCs w:val="32"/>
        </w:rPr>
      </w:pPr>
      <w:bookmarkStart w:id="55" w:name="_Toc10719"/>
      <w:r>
        <w:rPr>
          <w:rFonts w:hint="eastAsia" w:ascii="仿宋_GB2312" w:hAnsi="仿宋_GB2312" w:eastAsia="仿宋_GB2312" w:cs="仿宋_GB2312"/>
          <w:bCs/>
          <w:kern w:val="0"/>
          <w:sz w:val="32"/>
          <w:szCs w:val="32"/>
        </w:rPr>
        <w:t>八、《国有资本经营预算财政拨款收入支出决算表》</w:t>
      </w:r>
      <w:bookmarkEnd w:id="55"/>
    </w:p>
    <w:p w14:paraId="7870AAA8">
      <w:pPr>
        <w:ind w:firstLine="640" w:firstLineChars="200"/>
        <w:outlineLvl w:val="1"/>
        <w:rPr>
          <w:rFonts w:ascii="仿宋_GB2312" w:hAnsi="仿宋_GB2312" w:eastAsia="仿宋_GB2312" w:cs="仿宋_GB2312"/>
          <w:bCs/>
          <w:kern w:val="0"/>
          <w:sz w:val="32"/>
          <w:szCs w:val="32"/>
        </w:rPr>
      </w:pPr>
      <w:bookmarkStart w:id="56" w:name="_Toc18861"/>
      <w:bookmarkStart w:id="57" w:name="_Toc29106"/>
      <w:bookmarkStart w:id="58" w:name="_Toc32663"/>
      <w:r>
        <w:rPr>
          <w:rFonts w:hint="eastAsia" w:ascii="仿宋_GB2312" w:hAnsi="仿宋_GB2312" w:eastAsia="仿宋_GB2312" w:cs="仿宋_GB2312"/>
          <w:bCs/>
          <w:kern w:val="0"/>
          <w:sz w:val="32"/>
          <w:szCs w:val="32"/>
        </w:rPr>
        <w:t>九、《财政拨款“三公”经费支出决算表》</w:t>
      </w:r>
      <w:bookmarkEnd w:id="56"/>
      <w:bookmarkEnd w:id="57"/>
      <w:bookmarkEnd w:id="58"/>
    </w:p>
    <w:p w14:paraId="575150D0">
      <w:pPr>
        <w:outlineLvl w:val="1"/>
        <w:rPr>
          <w:rFonts w:ascii="仿宋_GB2312" w:hAnsi="仿宋_GB2312" w:eastAsia="仿宋_GB2312" w:cs="仿宋_GB2312"/>
          <w:bCs/>
          <w:kern w:val="0"/>
          <w:sz w:val="32"/>
          <w:szCs w:val="32"/>
        </w:rPr>
      </w:pPr>
    </w:p>
    <w:p w14:paraId="4F87845E">
      <w:pPr>
        <w:ind w:firstLine="640" w:firstLineChars="200"/>
        <w:outlineLvl w:val="1"/>
        <w:rPr>
          <w:rFonts w:ascii="仿宋_GB2312" w:hAnsi="仿宋_GB2312" w:eastAsia="仿宋_GB2312" w:cs="仿宋_GB2312"/>
          <w:bCs/>
          <w:kern w:val="0"/>
          <w:sz w:val="32"/>
          <w:szCs w:val="32"/>
        </w:rPr>
      </w:pPr>
    </w:p>
    <w:p w14:paraId="1FF314CC">
      <w:pPr>
        <w:ind w:firstLine="640" w:firstLineChars="200"/>
        <w:outlineLvl w:val="1"/>
        <w:rPr>
          <w:rFonts w:ascii="仿宋_GB2312" w:hAnsi="仿宋_GB2312" w:eastAsia="仿宋_GB2312" w:cs="仿宋_GB2312"/>
          <w:bCs/>
          <w:kern w:val="0"/>
          <w:sz w:val="32"/>
          <w:szCs w:val="32"/>
        </w:rPr>
      </w:pPr>
    </w:p>
    <w:p w14:paraId="44A07E37">
      <w:pPr>
        <w:ind w:firstLine="640" w:firstLineChars="200"/>
        <w:outlineLvl w:val="1"/>
        <w:rPr>
          <w:rFonts w:ascii="仿宋_GB2312" w:hAnsi="仿宋_GB2312" w:eastAsia="仿宋_GB2312" w:cs="仿宋_GB2312"/>
          <w:bCs/>
          <w:kern w:val="0"/>
          <w:sz w:val="32"/>
          <w:szCs w:val="32"/>
        </w:rPr>
      </w:pPr>
    </w:p>
    <w:p w14:paraId="32F2A70E">
      <w:pPr>
        <w:ind w:firstLine="640" w:firstLineChars="200"/>
        <w:outlineLvl w:val="1"/>
        <w:rPr>
          <w:rFonts w:ascii="仿宋_GB2312" w:hAnsi="仿宋_GB2312" w:eastAsia="仿宋_GB2312" w:cs="仿宋_GB2312"/>
          <w:bCs/>
          <w:kern w:val="0"/>
          <w:sz w:val="32"/>
          <w:szCs w:val="32"/>
        </w:rPr>
      </w:pPr>
    </w:p>
    <w:p w14:paraId="547C5950">
      <w:pPr>
        <w:ind w:firstLine="640" w:firstLineChars="200"/>
        <w:outlineLvl w:val="1"/>
        <w:rPr>
          <w:rFonts w:ascii="仿宋_GB2312" w:hAnsi="仿宋_GB2312" w:eastAsia="仿宋_GB2312" w:cs="仿宋_GB2312"/>
          <w:bCs/>
          <w:kern w:val="0"/>
          <w:sz w:val="32"/>
          <w:szCs w:val="32"/>
        </w:rPr>
      </w:pPr>
    </w:p>
    <w:p w14:paraId="4FFE5E7E">
      <w:pPr>
        <w:ind w:firstLine="640" w:firstLineChars="200"/>
        <w:outlineLvl w:val="1"/>
        <w:rPr>
          <w:rFonts w:ascii="仿宋_GB2312" w:hAnsi="仿宋_GB2312" w:eastAsia="仿宋_GB2312" w:cs="仿宋_GB2312"/>
          <w:bCs/>
          <w:kern w:val="0"/>
          <w:sz w:val="32"/>
          <w:szCs w:val="32"/>
        </w:rPr>
      </w:pPr>
    </w:p>
    <w:p w14:paraId="1F0091AE">
      <w:pPr>
        <w:ind w:firstLine="640" w:firstLineChars="200"/>
        <w:outlineLvl w:val="1"/>
        <w:rPr>
          <w:rFonts w:ascii="仿宋_GB2312" w:hAnsi="仿宋_GB2312" w:eastAsia="仿宋_GB2312" w:cs="仿宋_GB2312"/>
          <w:bCs/>
          <w:kern w:val="0"/>
          <w:sz w:val="32"/>
          <w:szCs w:val="32"/>
        </w:rPr>
      </w:pPr>
    </w:p>
    <w:p w14:paraId="4069A762">
      <w:pPr>
        <w:ind w:firstLine="640" w:firstLineChars="200"/>
        <w:outlineLvl w:val="1"/>
        <w:rPr>
          <w:rFonts w:ascii="仿宋_GB2312" w:hAnsi="仿宋_GB2312" w:eastAsia="仿宋_GB2312" w:cs="仿宋_GB2312"/>
          <w:bCs/>
          <w:kern w:val="0"/>
          <w:sz w:val="32"/>
          <w:szCs w:val="32"/>
        </w:rPr>
      </w:pPr>
    </w:p>
    <w:p w14:paraId="04EAD871">
      <w:pPr>
        <w:ind w:firstLine="640" w:firstLineChars="200"/>
        <w:outlineLvl w:val="1"/>
        <w:rPr>
          <w:rFonts w:ascii="仿宋_GB2312" w:hAnsi="仿宋_GB2312" w:eastAsia="仿宋_GB2312" w:cs="仿宋_GB2312"/>
          <w:bCs/>
          <w:kern w:val="0"/>
          <w:sz w:val="32"/>
          <w:szCs w:val="32"/>
        </w:rPr>
      </w:pPr>
    </w:p>
    <w:p w14:paraId="2789854C">
      <w:pPr>
        <w:ind w:firstLine="640" w:firstLineChars="200"/>
        <w:outlineLvl w:val="1"/>
        <w:rPr>
          <w:rFonts w:ascii="仿宋_GB2312" w:hAnsi="仿宋_GB2312" w:eastAsia="仿宋_GB2312" w:cs="仿宋_GB2312"/>
          <w:bCs/>
          <w:kern w:val="0"/>
          <w:sz w:val="32"/>
          <w:szCs w:val="32"/>
        </w:rPr>
      </w:pPr>
    </w:p>
    <w:p w14:paraId="335261E8">
      <w:pPr>
        <w:jc w:val="left"/>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A8AAEFD-D58F-4BA9-810A-E8C73CC111A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embedRegular r:id="rId2" w:fontKey="{266CC2E2-A422-4041-87B1-928C55C9D823}"/>
  </w:font>
  <w:font w:name="仿宋_GB2312">
    <w:panose1 w:val="02010609030101010101"/>
    <w:charset w:val="86"/>
    <w:family w:val="modern"/>
    <w:pitch w:val="default"/>
    <w:sig w:usb0="00000001" w:usb1="080E0000" w:usb2="00000000" w:usb3="00000000" w:csb0="00040000" w:csb1="00000000"/>
    <w:embedRegular r:id="rId3" w:fontKey="{ECA1A5E4-4771-46A3-ABE5-ACF1B2D372A8}"/>
  </w:font>
  <w:font w:name="仿宋">
    <w:panose1 w:val="02010609060101010101"/>
    <w:charset w:val="86"/>
    <w:family w:val="modern"/>
    <w:pitch w:val="default"/>
    <w:sig w:usb0="800002BF" w:usb1="38CF7CFA" w:usb2="00000016" w:usb3="00000000" w:csb0="00040001" w:csb1="00000000"/>
    <w:embedRegular r:id="rId4" w:fontKey="{FD4CCBDA-4E55-4E64-A47F-58AF92312ED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0FAD4C">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B5E19AC">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6pebnPAAAABQEAAA8AAAAAAAAA&#10;AQAgAAAAIgAAAGRycy9kb3ducmV2LnhtbFBLAQIUABQAAAAIAIdO4kDesQ8x4QEAAMwDAAAOAAAA&#10;AAAAAAEAIAAAAB4BAABkcnMvZTJvRG9jLnhtbFBLBQYAAAAABgAGAFkBAABxBQAAAAA=&#10;">
              <v:fill on="f" focussize="0,0"/>
              <v:stroke on="f"/>
              <v:imagedata o:title=""/>
              <o:lock v:ext="edit" aspectratio="f"/>
              <v:textbox inset="0mm,0mm,0mm,0mm" style="mso-fit-shape-to-text:t;">
                <w:txbxContent>
                  <w:p w14:paraId="6B5E19AC">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782661"/>
    <w:rsid w:val="00025435"/>
    <w:rsid w:val="00061B49"/>
    <w:rsid w:val="00140FA0"/>
    <w:rsid w:val="00535A9C"/>
    <w:rsid w:val="00612B12"/>
    <w:rsid w:val="00782661"/>
    <w:rsid w:val="00A64C87"/>
    <w:rsid w:val="00BD3E29"/>
    <w:rsid w:val="00E13476"/>
    <w:rsid w:val="00F51CBA"/>
    <w:rsid w:val="01F256FD"/>
    <w:rsid w:val="02F73D26"/>
    <w:rsid w:val="034D4FEF"/>
    <w:rsid w:val="03DE0026"/>
    <w:rsid w:val="043E5B56"/>
    <w:rsid w:val="049978E1"/>
    <w:rsid w:val="058544FF"/>
    <w:rsid w:val="06792773"/>
    <w:rsid w:val="06CC592B"/>
    <w:rsid w:val="08843074"/>
    <w:rsid w:val="08E536AF"/>
    <w:rsid w:val="09A729D8"/>
    <w:rsid w:val="0A7B4867"/>
    <w:rsid w:val="0AC260D6"/>
    <w:rsid w:val="0B264E3C"/>
    <w:rsid w:val="0B8C3ECC"/>
    <w:rsid w:val="0BB73761"/>
    <w:rsid w:val="0C3613A3"/>
    <w:rsid w:val="0C7227A7"/>
    <w:rsid w:val="0C8353F1"/>
    <w:rsid w:val="0DA61D1D"/>
    <w:rsid w:val="0DCA6EF7"/>
    <w:rsid w:val="0E4B1576"/>
    <w:rsid w:val="0F447CDC"/>
    <w:rsid w:val="11E15093"/>
    <w:rsid w:val="120E0809"/>
    <w:rsid w:val="12544632"/>
    <w:rsid w:val="14373B44"/>
    <w:rsid w:val="14E60C13"/>
    <w:rsid w:val="17FB6783"/>
    <w:rsid w:val="1875698D"/>
    <w:rsid w:val="18AB1958"/>
    <w:rsid w:val="19071D6C"/>
    <w:rsid w:val="19B077E0"/>
    <w:rsid w:val="1A0D279E"/>
    <w:rsid w:val="1A6247D4"/>
    <w:rsid w:val="1C317E4F"/>
    <w:rsid w:val="1C472464"/>
    <w:rsid w:val="1C5A616E"/>
    <w:rsid w:val="1C7B702D"/>
    <w:rsid w:val="1DAF458D"/>
    <w:rsid w:val="1E086ACE"/>
    <w:rsid w:val="1E85149C"/>
    <w:rsid w:val="1EAA4A5F"/>
    <w:rsid w:val="1F040613"/>
    <w:rsid w:val="1F587A0B"/>
    <w:rsid w:val="1F8A3735"/>
    <w:rsid w:val="2064678E"/>
    <w:rsid w:val="20DD6197"/>
    <w:rsid w:val="216D6A93"/>
    <w:rsid w:val="21F317F2"/>
    <w:rsid w:val="222004B3"/>
    <w:rsid w:val="2234077E"/>
    <w:rsid w:val="2241392C"/>
    <w:rsid w:val="22E562A7"/>
    <w:rsid w:val="235A27D8"/>
    <w:rsid w:val="23BC04D2"/>
    <w:rsid w:val="2432287C"/>
    <w:rsid w:val="25275618"/>
    <w:rsid w:val="25612730"/>
    <w:rsid w:val="25771464"/>
    <w:rsid w:val="257D4165"/>
    <w:rsid w:val="26F85975"/>
    <w:rsid w:val="27CF2642"/>
    <w:rsid w:val="282459E2"/>
    <w:rsid w:val="2A053397"/>
    <w:rsid w:val="2A444FB1"/>
    <w:rsid w:val="2A6064E2"/>
    <w:rsid w:val="2BA9200B"/>
    <w:rsid w:val="2D1136DF"/>
    <w:rsid w:val="2DAE0E44"/>
    <w:rsid w:val="2FD27414"/>
    <w:rsid w:val="30951D00"/>
    <w:rsid w:val="313F1D52"/>
    <w:rsid w:val="318029AB"/>
    <w:rsid w:val="31821FA8"/>
    <w:rsid w:val="31C63837"/>
    <w:rsid w:val="322546D1"/>
    <w:rsid w:val="326F0A17"/>
    <w:rsid w:val="332A4FA9"/>
    <w:rsid w:val="33DF0372"/>
    <w:rsid w:val="34474269"/>
    <w:rsid w:val="34623382"/>
    <w:rsid w:val="360311CD"/>
    <w:rsid w:val="378400EB"/>
    <w:rsid w:val="3914510A"/>
    <w:rsid w:val="3B1220C9"/>
    <w:rsid w:val="3B25649D"/>
    <w:rsid w:val="3D5275AC"/>
    <w:rsid w:val="3D870BBE"/>
    <w:rsid w:val="3E913858"/>
    <w:rsid w:val="3EA7725F"/>
    <w:rsid w:val="40834692"/>
    <w:rsid w:val="41333305"/>
    <w:rsid w:val="423A32B2"/>
    <w:rsid w:val="460744D3"/>
    <w:rsid w:val="464B7E04"/>
    <w:rsid w:val="46780E27"/>
    <w:rsid w:val="46901EEE"/>
    <w:rsid w:val="469C74D2"/>
    <w:rsid w:val="47445515"/>
    <w:rsid w:val="48E21116"/>
    <w:rsid w:val="49C97D5C"/>
    <w:rsid w:val="4AE02482"/>
    <w:rsid w:val="4AE426AE"/>
    <w:rsid w:val="4B4C0111"/>
    <w:rsid w:val="4C4A14AC"/>
    <w:rsid w:val="4D1D096E"/>
    <w:rsid w:val="4D730311"/>
    <w:rsid w:val="505A358E"/>
    <w:rsid w:val="50DB5F45"/>
    <w:rsid w:val="50E0275A"/>
    <w:rsid w:val="52F92565"/>
    <w:rsid w:val="55DA564E"/>
    <w:rsid w:val="56E07045"/>
    <w:rsid w:val="583059FA"/>
    <w:rsid w:val="587E6212"/>
    <w:rsid w:val="58BF1131"/>
    <w:rsid w:val="58D10A34"/>
    <w:rsid w:val="59973ABF"/>
    <w:rsid w:val="5A74678C"/>
    <w:rsid w:val="5A890202"/>
    <w:rsid w:val="5AFC6609"/>
    <w:rsid w:val="5D0B07E3"/>
    <w:rsid w:val="5D981932"/>
    <w:rsid w:val="5EEE5E34"/>
    <w:rsid w:val="5FA17648"/>
    <w:rsid w:val="60FC6AD9"/>
    <w:rsid w:val="613409CB"/>
    <w:rsid w:val="615838CB"/>
    <w:rsid w:val="61A46A97"/>
    <w:rsid w:val="62DD7D21"/>
    <w:rsid w:val="63A25979"/>
    <w:rsid w:val="657F1D6E"/>
    <w:rsid w:val="65D97752"/>
    <w:rsid w:val="664C500C"/>
    <w:rsid w:val="665D5C3E"/>
    <w:rsid w:val="6773145F"/>
    <w:rsid w:val="67BF12CC"/>
    <w:rsid w:val="685771FE"/>
    <w:rsid w:val="68DB0208"/>
    <w:rsid w:val="69846A0E"/>
    <w:rsid w:val="69AD798C"/>
    <w:rsid w:val="6B68175F"/>
    <w:rsid w:val="6B8B5C99"/>
    <w:rsid w:val="6BC5264E"/>
    <w:rsid w:val="6E0F7A08"/>
    <w:rsid w:val="6E801ABC"/>
    <w:rsid w:val="70A812EA"/>
    <w:rsid w:val="71473612"/>
    <w:rsid w:val="718F7F65"/>
    <w:rsid w:val="73423603"/>
    <w:rsid w:val="73922C6D"/>
    <w:rsid w:val="73BA004C"/>
    <w:rsid w:val="73DE4104"/>
    <w:rsid w:val="73FB6630"/>
    <w:rsid w:val="74CE04EC"/>
    <w:rsid w:val="74E76DCD"/>
    <w:rsid w:val="76660D7C"/>
    <w:rsid w:val="76CF72D3"/>
    <w:rsid w:val="76E73DD3"/>
    <w:rsid w:val="77ED6F44"/>
    <w:rsid w:val="78412D4C"/>
    <w:rsid w:val="7875446D"/>
    <w:rsid w:val="78B87A58"/>
    <w:rsid w:val="795A0A34"/>
    <w:rsid w:val="79FB30B5"/>
    <w:rsid w:val="7A0D3BC7"/>
    <w:rsid w:val="7A3A3CDB"/>
    <w:rsid w:val="7AAC3451"/>
    <w:rsid w:val="7AD97334"/>
    <w:rsid w:val="7B605984"/>
    <w:rsid w:val="7DCB68AB"/>
    <w:rsid w:val="7EAC4FE1"/>
    <w:rsid w:val="7EEA1B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正文-公1"/>
    <w:basedOn w:val="11"/>
    <w:next w:val="1"/>
    <w:qFormat/>
    <w:uiPriority w:val="0"/>
    <w:pPr>
      <w:ind w:firstLine="200" w:firstLineChars="200"/>
    </w:pPr>
  </w:style>
  <w:style w:type="paragraph" w:customStyle="1" w:styleId="11">
    <w:name w:val="正文 New New New New New New New New New New New New New New New New New New New New New New New New New New New New New New New New New New New New New New New New New New New New New New New New New New New New New New New New New New New New New New Ne"/>
    <w:next w:val="10"/>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5571</Words>
  <Characters>6184</Characters>
  <Lines>56</Lines>
  <Paragraphs>15</Paragraphs>
  <TotalTime>194</TotalTime>
  <ScaleCrop>false</ScaleCrop>
  <LinksUpToDate>false</LinksUpToDate>
  <CharactersWithSpaces>6196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2024-12-31T03:23:00Z</dcterms:created>
  <dc:creator>GXR</dc:creator>
  <cp:lastModifiedBy>221B</cp:lastModifiedBy>
  <cp:lastPrinted>2024-07-22T11:58:00Z</cp:lastPrinted>
  <dcterms:modified xsi:type="dcterms:W3CDTF">2025-08-21T04:36:58Z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CB462AC9D6534E10AC332A315E413C37_13</vt:lpwstr>
  </property>
  <property fmtid="{D5CDD505-2E9C-101B-9397-08002B2CF9AE}" pid="4" name="KSOTemplateDocerSaveRecord">
    <vt:lpwstr>eyJoZGlkIjoiODc4Yzk1M2E5M2IzN2U1MWQ3MjIzMjkxMGE5Y2NjZjQiLCJ1c2VySWQiOiIyNDgzNzQxNTEifQ==</vt:lpwstr>
  </property>
</Properties>
</file>