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8DE38">
      <w:pPr>
        <w:widowControl/>
        <w:spacing w:before="0" w:beforeLines="0" w:beforeAutospacing="0" w:after="0" w:afterLines="0" w:afterAutospacing="0" w:line="360" w:lineRule="auto"/>
        <w:jc w:val="left"/>
        <w:rPr>
          <w:rFonts w:ascii="宋体" w:eastAsia="宋体"/>
          <w:sz w:val="32"/>
          <w:szCs w:val="32"/>
        </w:rPr>
      </w:pPr>
    </w:p>
    <w:p w14:paraId="08BCFDE8">
      <w:pPr>
        <w:widowControl/>
        <w:spacing w:before="0" w:beforeLines="0" w:beforeAutospacing="0" w:after="0" w:afterLines="0" w:afterAutospacing="0" w:line="360" w:lineRule="auto"/>
        <w:jc w:val="left"/>
        <w:rPr>
          <w:rFonts w:ascii="宋体" w:eastAsia="宋体"/>
          <w:sz w:val="44"/>
          <w:szCs w:val="44"/>
        </w:rPr>
      </w:pPr>
    </w:p>
    <w:p w14:paraId="407782E6">
      <w:pPr>
        <w:widowControl/>
        <w:spacing w:before="0" w:beforeLines="0" w:beforeAutospacing="0" w:after="0" w:afterLines="0" w:afterAutospacing="0" w:line="360" w:lineRule="auto"/>
        <w:jc w:val="left"/>
        <w:rPr>
          <w:rFonts w:ascii="宋体" w:eastAsia="宋体"/>
          <w:sz w:val="44"/>
          <w:szCs w:val="44"/>
        </w:rPr>
      </w:pPr>
    </w:p>
    <w:p w14:paraId="0F45A806">
      <w:pPr>
        <w:widowControl/>
        <w:spacing w:before="0" w:beforeLines="0" w:beforeAutospacing="0" w:after="0" w:afterLines="0" w:afterAutospacing="0" w:line="360" w:lineRule="auto"/>
        <w:jc w:val="left"/>
        <w:rPr>
          <w:rFonts w:ascii="宋体" w:eastAsia="宋体"/>
          <w:sz w:val="44"/>
          <w:szCs w:val="44"/>
        </w:rPr>
      </w:pPr>
    </w:p>
    <w:p w14:paraId="1D99647C">
      <w:pPr>
        <w:widowControl/>
        <w:spacing w:before="0" w:beforeLines="0" w:beforeAutospacing="0" w:after="0" w:afterLines="0" w:afterAutospacing="0" w:line="360" w:lineRule="auto"/>
        <w:jc w:val="center"/>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新疆维吾尔自治区克孜尔石窟研究所</w:t>
      </w:r>
    </w:p>
    <w:p w14:paraId="278E6F4F">
      <w:pPr>
        <w:widowControl/>
        <w:spacing w:before="0" w:beforeLines="0" w:beforeAutospacing="0" w:after="0" w:afterLines="0" w:afterAutospacing="0" w:line="360" w:lineRule="auto"/>
        <w:jc w:val="center"/>
        <w:outlineLvl w:val="0"/>
        <w:rPr>
          <w:rFonts w:hint="eastAsia" w:ascii="方正小标宋_GBK" w:hAnsi="方正小标宋_GBK" w:eastAsia="方正小标宋_GBK" w:cs="方正小标宋_GBK"/>
          <w:b w:val="0"/>
          <w:sz w:val="44"/>
          <w:szCs w:val="44"/>
        </w:rPr>
      </w:pPr>
      <w:r>
        <w:rPr>
          <w:rFonts w:hint="eastAsia" w:ascii="方正小标宋_GBK" w:hAnsi="方正小标宋_GBK" w:eastAsia="方正小标宋_GBK" w:cs="方正小标宋_GBK"/>
          <w:b w:val="0"/>
          <w:sz w:val="44"/>
          <w:szCs w:val="44"/>
        </w:rPr>
        <w:t>2024年度部门决算</w:t>
      </w:r>
    </w:p>
    <w:p w14:paraId="75210FC4">
      <w:pPr>
        <w:widowControl/>
        <w:spacing w:before="0" w:beforeLines="0" w:beforeAutospacing="0" w:after="0" w:afterLines="0" w:afterAutospacing="0" w:line="360" w:lineRule="auto"/>
        <w:jc w:val="center"/>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公开说明</w:t>
      </w:r>
    </w:p>
    <w:p w14:paraId="1D6E9CCC">
      <w:pPr>
        <w:widowControl/>
        <w:spacing w:line="360" w:lineRule="auto"/>
      </w:pPr>
      <w:r>
        <w:rPr>
          <w:b w:val="0"/>
          <w:sz w:val="0"/>
          <w:szCs w:val="0"/>
        </w:rPr>
        <w:br w:type="page"/>
      </w:r>
    </w:p>
    <w:p w14:paraId="4D853DA7">
      <w:pPr>
        <w:widowControl/>
        <w:spacing w:before="0" w:beforeLines="0" w:beforeAutospacing="0" w:after="0" w:afterLines="0" w:afterAutospacing="0" w:line="360" w:lineRule="auto"/>
        <w:jc w:val="center"/>
        <w:rPr>
          <w:rFonts w:ascii="黑体" w:eastAsia="黑体"/>
          <w:b/>
          <w:sz w:val="36"/>
          <w:szCs w:val="36"/>
        </w:rPr>
      </w:pPr>
    </w:p>
    <w:p w14:paraId="3EA8AFCC">
      <w:pPr>
        <w:widowControl/>
        <w:spacing w:before="0" w:beforeLines="0" w:beforeAutospacing="0" w:after="0" w:afterLines="0" w:afterAutospacing="0" w:line="360" w:lineRule="auto"/>
        <w:jc w:val="center"/>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目</w:t>
      </w:r>
      <w:r>
        <w:rPr>
          <w:rFonts w:hint="eastAsia" w:ascii="仿宋_GB2312" w:hAnsi="仿宋_GB2312" w:eastAsia="仿宋_GB2312" w:cs="仿宋_GB2312"/>
          <w:b/>
          <w:bCs w:val="0"/>
          <w:sz w:val="36"/>
          <w:szCs w:val="36"/>
          <w:lang w:val="en-US" w:eastAsia="zh-CN"/>
        </w:rPr>
        <w:t xml:space="preserve">   </w:t>
      </w:r>
      <w:r>
        <w:rPr>
          <w:rFonts w:hint="eastAsia" w:ascii="仿宋_GB2312" w:hAnsi="仿宋_GB2312" w:eastAsia="仿宋_GB2312" w:cs="仿宋_GB2312"/>
          <w:b/>
          <w:bCs w:val="0"/>
          <w:sz w:val="36"/>
          <w:szCs w:val="36"/>
        </w:rPr>
        <w:t>录</w:t>
      </w:r>
    </w:p>
    <w:p w14:paraId="2181F4AC">
      <w:pPr>
        <w:widowControl/>
        <w:spacing w:before="0" w:beforeLines="0" w:beforeAutospacing="0" w:after="0" w:afterLines="0" w:afterAutospacing="0" w:line="360" w:lineRule="auto"/>
        <w:jc w:val="left"/>
        <w:rPr>
          <w:rFonts w:ascii="仿宋_GB2312" w:eastAsia="仿宋_GB2312"/>
          <w:sz w:val="32"/>
          <w:szCs w:val="32"/>
        </w:rPr>
      </w:pPr>
      <w:r>
        <w:rPr>
          <w:rFonts w:ascii="仿宋_GB2312" w:eastAsia="仿宋_GB2312"/>
          <w:b/>
          <w:sz w:val="32"/>
          <w:szCs w:val="32"/>
        </w:rPr>
        <w:t>第一部分单位概况</w:t>
      </w:r>
    </w:p>
    <w:p w14:paraId="5049460A">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一、主要职能</w:t>
      </w:r>
    </w:p>
    <w:p w14:paraId="52163107">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二、机构设置及人员情况</w:t>
      </w:r>
    </w:p>
    <w:p w14:paraId="59A0FEA5">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eastAsia="仿宋_GB2312" w:hAnsiTheme="minorHAnsi" w:cstheme="minorBidi"/>
          <w:b/>
          <w:sz w:val="32"/>
          <w:szCs w:val="32"/>
          <w:lang w:val="en-US" w:eastAsia="zh-CN" w:bidi="ar-SA"/>
        </w:rPr>
      </w:pPr>
      <w:r>
        <w:rPr>
          <w:rFonts w:hint="eastAsia" w:ascii="仿宋_GB2312" w:eastAsia="仿宋_GB2312" w:hAnsiTheme="minorHAnsi" w:cstheme="minorBidi"/>
          <w:b/>
          <w:sz w:val="32"/>
          <w:szCs w:val="32"/>
          <w:lang w:val="en-US" w:eastAsia="zh-CN" w:bidi="ar-SA"/>
        </w:rPr>
        <w:t>第二部分部门决算情况说明</w:t>
      </w:r>
    </w:p>
    <w:p w14:paraId="22499BBC">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一、收入支出决算总体情况说明</w:t>
      </w:r>
    </w:p>
    <w:p w14:paraId="1C4703D1">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二、收入决算情况说明</w:t>
      </w:r>
    </w:p>
    <w:p w14:paraId="27D7FA0D">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三、支出决算情况说明</w:t>
      </w:r>
    </w:p>
    <w:p w14:paraId="00A0BEED">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四、财政拨款收入支出决算总体情况说明</w:t>
      </w:r>
    </w:p>
    <w:p w14:paraId="4250795D">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五、一般公共预算财政拨款支出决算情况说明</w:t>
      </w:r>
    </w:p>
    <w:p w14:paraId="3F8B94F0">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（一）一般公共预算财政拨款支出决算总体情况</w:t>
      </w:r>
    </w:p>
    <w:p w14:paraId="226269BE">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（二）一般公共预算财政拨款支出决算结构情况</w:t>
      </w:r>
    </w:p>
    <w:p w14:paraId="0F646D47">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（三）一般公共预算财政拨款支出决算具体情况</w:t>
      </w:r>
    </w:p>
    <w:p w14:paraId="0614A8A3">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六、一般公共预算财政拨款基本支出决算情况说明</w:t>
      </w:r>
    </w:p>
    <w:p w14:paraId="313DD9D2">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七、政府性基金预算财政拨款收入支出决算情况说明</w:t>
      </w:r>
    </w:p>
    <w:p w14:paraId="3BB777FC">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八、国有资本经营预算财政拨款收入支出决算情况说明</w:t>
      </w:r>
    </w:p>
    <w:p w14:paraId="162DABEA">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九、财政拨款“三公”经费支出决算情况说明</w:t>
      </w:r>
    </w:p>
    <w:p w14:paraId="0AC08BCD">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十、其他重要事项的情况说明</w:t>
      </w:r>
    </w:p>
    <w:p w14:paraId="247705B2">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（一）机关运行经费及公用经费支出情况</w:t>
      </w:r>
    </w:p>
    <w:p w14:paraId="3B5CB690">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（二）政府采购情况</w:t>
      </w:r>
    </w:p>
    <w:p w14:paraId="06D5F264">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（三）国有资产占用情况说明</w:t>
      </w:r>
    </w:p>
    <w:p w14:paraId="499F6BCC">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十一、预算绩效的情况说明</w:t>
      </w:r>
    </w:p>
    <w:p w14:paraId="2DA663C8">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十二、其他需说明的事项</w:t>
      </w:r>
    </w:p>
    <w:p w14:paraId="306597A2">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方正仿宋_GB2312" w:hAnsi="方正仿宋_GB2312" w:eastAsia="方正仿宋_GB2312" w:cs="方正仿宋_GB2312"/>
          <w:b/>
          <w:bCs/>
          <w:kern w:val="2"/>
          <w:sz w:val="32"/>
          <w:szCs w:val="32"/>
          <w:highlight w:val="none"/>
          <w:lang w:eastAsia="zh-CN"/>
        </w:rPr>
      </w:pPr>
      <w:r>
        <w:rPr>
          <w:rFonts w:hint="eastAsia" w:ascii="方正仿宋_GB2312" w:hAnsi="方正仿宋_GB2312" w:eastAsia="方正仿宋_GB2312" w:cs="方正仿宋_GB2312"/>
          <w:b/>
          <w:bCs/>
          <w:kern w:val="2"/>
          <w:sz w:val="32"/>
          <w:szCs w:val="32"/>
          <w:highlight w:val="none"/>
          <w:lang w:eastAsia="zh-CN"/>
        </w:rPr>
        <w:t>第三部分专业名词解释</w:t>
      </w:r>
    </w:p>
    <w:p w14:paraId="33664B1D">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b/>
          <w:bCs/>
          <w:kern w:val="2"/>
          <w:sz w:val="32"/>
          <w:szCs w:val="32"/>
          <w:highlight w:val="none"/>
          <w:lang w:eastAsia="zh-CN"/>
        </w:rPr>
      </w:pPr>
      <w:r>
        <w:rPr>
          <w:rFonts w:hint="eastAsia" w:ascii="仿宋_GB2312" w:hAnsi="仿宋_GB2312" w:eastAsia="仿宋_GB2312" w:cs="仿宋_GB2312"/>
          <w:b/>
          <w:bCs/>
          <w:kern w:val="2"/>
          <w:sz w:val="32"/>
          <w:szCs w:val="32"/>
          <w:highlight w:val="none"/>
          <w:lang w:eastAsia="zh-CN"/>
        </w:rPr>
        <w:t>第四部分部门决算报表（见附表）</w:t>
      </w:r>
    </w:p>
    <w:p w14:paraId="06CB7930">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一、《收入支出决算总表》</w:t>
      </w:r>
    </w:p>
    <w:p w14:paraId="3EC14B91">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二、《收入决算表》</w:t>
      </w:r>
    </w:p>
    <w:p w14:paraId="5996B8F7">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三、《支出决算表》</w:t>
      </w:r>
    </w:p>
    <w:p w14:paraId="76622F09">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四、《财政拨款收入支出决算总表》</w:t>
      </w:r>
    </w:p>
    <w:p w14:paraId="28F5F61B">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五、《一般公共预算财政拨款支出决算表》</w:t>
      </w:r>
    </w:p>
    <w:p w14:paraId="0F6880CA">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六、《一般公共预算财政拨款基本支出决算表》</w:t>
      </w:r>
    </w:p>
    <w:p w14:paraId="0FC108DA">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七、《政府性基金预算财政拨款收入支出决算表》</w:t>
      </w:r>
    </w:p>
    <w:p w14:paraId="4D8E51B9">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八、《国有资本经营预算财政拨款收入支出决算表》</w:t>
      </w:r>
    </w:p>
    <w:p w14:paraId="6AF2EE04">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360" w:lineRule="auto"/>
        <w:ind w:left="0" w:leftChars="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eastAsia="zh-CN"/>
        </w:rPr>
        <w:t>九、《财政拨款“三公”经费支出决算表》</w:t>
      </w:r>
    </w:p>
    <w:p w14:paraId="5DDB832B">
      <w:pPr>
        <w:keepNext w:val="0"/>
        <w:keepLines w:val="0"/>
        <w:pageBreakBefore w:val="0"/>
        <w:widowControl/>
        <w:kinsoku/>
        <w:wordWrap/>
        <w:overflowPunct/>
        <w:topLinePunct w:val="0"/>
        <w:autoSpaceDE/>
        <w:autoSpaceDN/>
        <w:bidi w:val="0"/>
        <w:adjustRightInd/>
        <w:snapToGrid/>
        <w:spacing w:line="360" w:lineRule="auto"/>
        <w:textAlignment w:val="auto"/>
        <w:rPr>
          <w:rFonts w:ascii="黑体" w:eastAsia="黑体"/>
          <w:b w:val="0"/>
          <w:sz w:val="32"/>
          <w:szCs w:val="32"/>
        </w:rPr>
      </w:pPr>
      <w:r>
        <w:rPr>
          <w:b w:val="0"/>
          <w:sz w:val="0"/>
          <w:szCs w:val="0"/>
        </w:rPr>
        <w:br w:type="page"/>
      </w:r>
    </w:p>
    <w:p w14:paraId="693B34FA">
      <w:pPr>
        <w:widowControl/>
        <w:spacing w:before="0" w:beforeLines="0" w:beforeAutospacing="0" w:after="0" w:afterLines="0" w:afterAutospacing="0" w:line="360" w:lineRule="auto"/>
        <w:jc w:val="center"/>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14:paraId="5B02DA81">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333FAF0E">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lang w:eastAsia="zh-CN"/>
        </w:rPr>
      </w:pPr>
      <w:r>
        <w:rPr>
          <w:rFonts w:ascii="仿宋_GB2312" w:eastAsia="仿宋_GB2312"/>
          <w:b w:val="0"/>
          <w:sz w:val="32"/>
          <w:szCs w:val="32"/>
        </w:rPr>
        <w:t>自治区克孜尔石窟研究所其主要工作职能是</w:t>
      </w:r>
      <w:r>
        <w:rPr>
          <w:rFonts w:hint="eastAsia" w:ascii="仿宋_GB2312" w:eastAsia="仿宋_GB2312"/>
          <w:b w:val="0"/>
          <w:sz w:val="32"/>
          <w:szCs w:val="32"/>
        </w:rPr>
        <w:t>开展石窟研究，弘扬中华优秀传统文化。全</w:t>
      </w:r>
      <w:r>
        <w:rPr>
          <w:rFonts w:hint="eastAsia" w:ascii="仿宋_GB2312" w:eastAsia="仿宋_GB2312"/>
          <w:b w:val="0"/>
          <w:sz w:val="32"/>
          <w:szCs w:val="32"/>
          <w:lang w:val="en-US" w:eastAsia="zh-CN"/>
        </w:rPr>
        <w:t>疆</w:t>
      </w:r>
      <w:r>
        <w:rPr>
          <w:rFonts w:hint="eastAsia" w:ascii="仿宋_GB2312" w:eastAsia="仿宋_GB2312"/>
          <w:b w:val="0"/>
          <w:sz w:val="32"/>
          <w:szCs w:val="32"/>
        </w:rPr>
        <w:t>石窟寺保护研究、展示利用统筹指导</w:t>
      </w:r>
      <w:r>
        <w:rPr>
          <w:rFonts w:hint="eastAsia" w:ascii="仿宋_GB2312" w:eastAsia="仿宋_GB2312"/>
          <w:b w:val="0"/>
          <w:sz w:val="32"/>
          <w:szCs w:val="32"/>
          <w:lang w:eastAsia="zh-CN"/>
        </w:rPr>
        <w:t>。</w:t>
      </w:r>
      <w:r>
        <w:rPr>
          <w:rFonts w:hint="eastAsia" w:ascii="仿宋_GB2312" w:eastAsia="仿宋_GB2312"/>
          <w:b w:val="0"/>
          <w:sz w:val="32"/>
          <w:szCs w:val="32"/>
        </w:rPr>
        <w:t>古龟兹地区石窟群保护、管理和安全巡护、监测、考古研究、数字化、展示利用</w:t>
      </w:r>
      <w:r>
        <w:rPr>
          <w:rFonts w:hint="eastAsia" w:ascii="仿宋_GB2312" w:eastAsia="仿宋_GB2312"/>
          <w:b w:val="0"/>
          <w:sz w:val="32"/>
          <w:szCs w:val="32"/>
          <w:lang w:val="en-US" w:eastAsia="zh-CN"/>
        </w:rPr>
        <w:t>等工作</w:t>
      </w:r>
      <w:r>
        <w:rPr>
          <w:rFonts w:hint="eastAsia" w:ascii="仿宋_GB2312" w:eastAsia="仿宋_GB2312"/>
          <w:b w:val="0"/>
          <w:sz w:val="32"/>
          <w:szCs w:val="32"/>
          <w:lang w:eastAsia="zh-CN"/>
        </w:rPr>
        <w:t>。</w:t>
      </w:r>
    </w:p>
    <w:p w14:paraId="361414AC">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lang w:val="en-US" w:eastAsia="en-US"/>
        </w:rPr>
      </w:pPr>
      <w:r>
        <w:rPr>
          <w:rFonts w:hint="eastAsia" w:ascii="仿宋_GB2312" w:eastAsia="仿宋_GB2312"/>
          <w:b w:val="0"/>
          <w:sz w:val="32"/>
          <w:szCs w:val="32"/>
          <w:lang w:val="en-US" w:eastAsia="en-US"/>
        </w:rPr>
        <w:t>我单位负责保护</w:t>
      </w:r>
      <w:r>
        <w:rPr>
          <w:rFonts w:hint="eastAsia" w:ascii="仿宋_GB2312" w:eastAsia="仿宋_GB2312"/>
          <w:b w:val="0"/>
          <w:sz w:val="32"/>
          <w:szCs w:val="32"/>
          <w:lang w:val="en-US" w:eastAsia="zh-CN"/>
        </w:rPr>
        <w:t>、</w:t>
      </w:r>
      <w:r>
        <w:rPr>
          <w:rFonts w:hint="eastAsia" w:ascii="仿宋_GB2312" w:eastAsia="仿宋_GB2312"/>
          <w:b w:val="0"/>
          <w:sz w:val="32"/>
          <w:szCs w:val="32"/>
          <w:lang w:val="en-US" w:eastAsia="en-US"/>
        </w:rPr>
        <w:t>研究和管理的石窟群共有9处，拜城县3处石窟群：即克孜尔石窟、台台尔石窟、温巴什石窟；库车</w:t>
      </w:r>
      <w:r>
        <w:rPr>
          <w:rFonts w:hint="eastAsia" w:ascii="仿宋_GB2312" w:eastAsia="仿宋_GB2312"/>
          <w:b w:val="0"/>
          <w:sz w:val="32"/>
          <w:szCs w:val="32"/>
          <w:lang w:val="en-US" w:eastAsia="zh-CN"/>
        </w:rPr>
        <w:t>市</w:t>
      </w:r>
      <w:r>
        <w:rPr>
          <w:rFonts w:hint="eastAsia" w:ascii="仿宋_GB2312" w:eastAsia="仿宋_GB2312"/>
          <w:b w:val="0"/>
          <w:sz w:val="32"/>
          <w:szCs w:val="32"/>
          <w:lang w:val="en-US" w:eastAsia="en-US"/>
        </w:rPr>
        <w:t>5处石窟群：即库木吐喇石窟、克孜尔尕哈石窟、森木塞姆石窟、玛扎伯哈石窟、阿艾石窟；新和县1处石窟：即托乎克拉艾肯石窟</w:t>
      </w:r>
      <w:r>
        <w:rPr>
          <w:rFonts w:hint="eastAsia" w:ascii="仿宋_GB2312" w:eastAsia="仿宋_GB2312"/>
          <w:b w:val="0"/>
          <w:sz w:val="32"/>
          <w:szCs w:val="32"/>
          <w:lang w:val="en-US" w:eastAsia="zh-CN"/>
        </w:rPr>
        <w:t>。</w:t>
      </w:r>
      <w:r>
        <w:rPr>
          <w:rFonts w:hint="eastAsia" w:ascii="仿宋_GB2312" w:eastAsia="仿宋_GB2312"/>
          <w:b w:val="0"/>
          <w:sz w:val="32"/>
          <w:szCs w:val="32"/>
          <w:lang w:val="en-US" w:eastAsia="en-US"/>
        </w:rPr>
        <w:t>目前皆为全国重点文物保护单位，其中：克孜尔石窟2014年6月被列入“丝绸之路：长安至天山廊道的路网”世界文化遗产名录</w:t>
      </w:r>
      <w:r>
        <w:rPr>
          <w:rFonts w:hint="eastAsia" w:ascii="仿宋_GB2312" w:eastAsia="仿宋_GB2312"/>
          <w:b w:val="0"/>
          <w:sz w:val="32"/>
          <w:szCs w:val="32"/>
          <w:lang w:val="en-US" w:eastAsia="zh-CN"/>
        </w:rPr>
        <w:t>。我所管辖的</w:t>
      </w:r>
      <w:r>
        <w:rPr>
          <w:rFonts w:hint="eastAsia" w:ascii="仿宋_GB2312" w:eastAsia="仿宋_GB2312"/>
          <w:b w:val="0"/>
          <w:sz w:val="32"/>
          <w:szCs w:val="32"/>
          <w:lang w:val="en-US" w:eastAsia="en-US"/>
        </w:rPr>
        <w:t>石窟</w:t>
      </w:r>
      <w:r>
        <w:rPr>
          <w:rFonts w:hint="eastAsia" w:ascii="仿宋_GB2312" w:eastAsia="仿宋_GB2312"/>
          <w:b w:val="0"/>
          <w:sz w:val="32"/>
          <w:szCs w:val="32"/>
          <w:lang w:val="en-US" w:eastAsia="zh-CN"/>
        </w:rPr>
        <w:t>群</w:t>
      </w:r>
      <w:r>
        <w:rPr>
          <w:rFonts w:hint="eastAsia" w:ascii="仿宋_GB2312" w:eastAsia="仿宋_GB2312"/>
          <w:b w:val="0"/>
          <w:sz w:val="32"/>
          <w:szCs w:val="32"/>
          <w:lang w:val="en-US" w:eastAsia="en-US"/>
        </w:rPr>
        <w:t>分布在库车、拜城、新和等境内的戈壁荒漠之中</w:t>
      </w:r>
      <w:r>
        <w:rPr>
          <w:rFonts w:hint="eastAsia" w:ascii="仿宋_GB2312" w:eastAsia="仿宋_GB2312"/>
          <w:b w:val="0"/>
          <w:sz w:val="32"/>
          <w:szCs w:val="32"/>
          <w:lang w:val="en-US" w:eastAsia="zh-CN"/>
        </w:rPr>
        <w:t>，</w:t>
      </w:r>
      <w:r>
        <w:rPr>
          <w:rFonts w:hint="eastAsia" w:ascii="仿宋_GB2312" w:eastAsia="仿宋_GB2312"/>
          <w:b w:val="0"/>
          <w:sz w:val="32"/>
          <w:szCs w:val="32"/>
          <w:lang w:val="en-US" w:eastAsia="en-US"/>
        </w:rPr>
        <w:t>分布范围达960平方公里</w:t>
      </w:r>
      <w:r>
        <w:rPr>
          <w:rFonts w:hint="eastAsia" w:ascii="仿宋_GB2312" w:eastAsia="仿宋_GB2312"/>
          <w:b w:val="0"/>
          <w:sz w:val="32"/>
          <w:szCs w:val="32"/>
          <w:lang w:val="en-US" w:eastAsia="zh-CN"/>
        </w:rPr>
        <w:t>。</w:t>
      </w:r>
      <w:r>
        <w:rPr>
          <w:rFonts w:hint="eastAsia" w:ascii="仿宋_GB2312" w:eastAsia="仿宋_GB2312"/>
          <w:b w:val="0"/>
          <w:sz w:val="32"/>
          <w:szCs w:val="32"/>
          <w:lang w:val="en-US" w:eastAsia="en-US"/>
        </w:rPr>
        <w:t>1961年克孜尔石窟和库木吐喇石窟被国务院公布为第一批全国重点文物保护单位；2014年克孜尔石窟列入“丝绸之路：长安—天山廊道的路网”世界文化遗产名录；2019年克孜尔石窟被评定为4A级旅游景区。</w:t>
      </w:r>
    </w:p>
    <w:p w14:paraId="7BA41799">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7944B4E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_GB2312" w:eastAsia="仿宋_GB2312"/>
          <w:b w:val="0"/>
          <w:sz w:val="32"/>
          <w:szCs w:val="32"/>
          <w:lang w:eastAsia="zh-CN"/>
        </w:rPr>
      </w:pPr>
      <w:r>
        <w:rPr>
          <w:rFonts w:ascii="仿宋_GB2312" w:eastAsia="仿宋_GB2312"/>
          <w:b w:val="0"/>
          <w:sz w:val="32"/>
          <w:szCs w:val="32"/>
        </w:rPr>
        <w:t>新疆维吾尔自治区克孜尔石窟研究所2024年度，实有人数96人，其中：在职人员71人，减少2人；离休人员0人，</w:t>
      </w:r>
      <w:r>
        <w:rPr>
          <w:rFonts w:hint="eastAsia" w:ascii="仿宋_GB2312" w:hAnsi="宋体" w:eastAsia="仿宋_GB2312" w:cs="宋体"/>
          <w:color w:val="auto"/>
          <w:kern w:val="0"/>
          <w:sz w:val="32"/>
          <w:szCs w:val="32"/>
          <w:highlight w:val="none"/>
        </w:rPr>
        <w:t>增加</w:t>
      </w:r>
      <w:r>
        <w:rPr>
          <w:rFonts w:hint="eastAsia" w:ascii="仿宋_GB2312" w:eastAsia="仿宋_GB2312"/>
          <w:sz w:val="32"/>
          <w:szCs w:val="32"/>
          <w:highlight w:val="none"/>
          <w:lang w:val="en-US" w:eastAsia="zh-CN"/>
        </w:rPr>
        <w:t>0</w:t>
      </w:r>
      <w:r>
        <w:rPr>
          <w:rFonts w:hint="eastAsia" w:ascii="仿宋_GB2312" w:hAnsi="宋体" w:eastAsia="仿宋_GB2312" w:cs="宋体"/>
          <w:color w:val="auto"/>
          <w:kern w:val="0"/>
          <w:sz w:val="32"/>
          <w:szCs w:val="32"/>
          <w:highlight w:val="none"/>
        </w:rPr>
        <w:t>人</w:t>
      </w:r>
      <w:r>
        <w:rPr>
          <w:rFonts w:ascii="仿宋_GB2312" w:eastAsia="仿宋_GB2312"/>
          <w:b w:val="0"/>
          <w:sz w:val="32"/>
          <w:szCs w:val="32"/>
        </w:rPr>
        <w:t>；退休人员25人，</w:t>
      </w:r>
      <w:r>
        <w:rPr>
          <w:rFonts w:hint="eastAsia" w:ascii="仿宋_GB2312" w:eastAsia="仿宋_GB2312"/>
          <w:b w:val="0"/>
          <w:sz w:val="32"/>
          <w:szCs w:val="32"/>
          <w:lang w:val="en-US" w:eastAsia="zh-CN"/>
        </w:rPr>
        <w:t>增加0人</w:t>
      </w:r>
      <w:r>
        <w:rPr>
          <w:rFonts w:hint="eastAsia" w:ascii="仿宋_GB2312" w:eastAsia="仿宋_GB2312"/>
          <w:b w:val="0"/>
          <w:sz w:val="32"/>
          <w:szCs w:val="32"/>
          <w:lang w:eastAsia="zh-CN"/>
        </w:rPr>
        <w:t>。</w:t>
      </w:r>
    </w:p>
    <w:p w14:paraId="2871D1B2">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r>
        <w:rPr>
          <w:rFonts w:hint="eastAsia" w:ascii="仿宋_GB2312" w:eastAsia="仿宋_GB2312"/>
          <w:b w:val="0"/>
          <w:sz w:val="32"/>
          <w:szCs w:val="32"/>
          <w:lang w:val="en-US" w:eastAsia="zh-CN"/>
        </w:rPr>
        <w:t>单位</w:t>
      </w:r>
      <w:r>
        <w:rPr>
          <w:rFonts w:ascii="仿宋_GB2312" w:eastAsia="仿宋_GB2312"/>
          <w:b w:val="0"/>
          <w:sz w:val="32"/>
          <w:szCs w:val="32"/>
        </w:rPr>
        <w:t>无下属预算单位，下设</w:t>
      </w:r>
      <w:r>
        <w:rPr>
          <w:rFonts w:hint="eastAsia" w:ascii="仿宋_GB2312" w:eastAsia="仿宋_GB2312"/>
          <w:b w:val="0"/>
          <w:sz w:val="32"/>
          <w:szCs w:val="32"/>
        </w:rPr>
        <w:t>1</w:t>
      </w:r>
      <w:r>
        <w:rPr>
          <w:rFonts w:hint="eastAsia" w:ascii="仿宋_GB2312" w:eastAsia="仿宋_GB2312"/>
          <w:b w:val="0"/>
          <w:sz w:val="32"/>
          <w:szCs w:val="32"/>
          <w:lang w:val="en-US" w:eastAsia="zh-CN"/>
        </w:rPr>
        <w:t>1</w:t>
      </w:r>
      <w:r>
        <w:rPr>
          <w:rFonts w:hint="eastAsia" w:ascii="仿宋_GB2312" w:eastAsia="仿宋_GB2312"/>
          <w:b w:val="0"/>
          <w:sz w:val="32"/>
          <w:szCs w:val="32"/>
        </w:rPr>
        <w:t>个</w:t>
      </w:r>
      <w:r>
        <w:rPr>
          <w:rFonts w:hint="eastAsia" w:ascii="仿宋_GB2312" w:eastAsia="仿宋_GB2312"/>
          <w:b w:val="0"/>
          <w:sz w:val="32"/>
          <w:szCs w:val="32"/>
          <w:lang w:val="en-US" w:eastAsia="zh-CN"/>
        </w:rPr>
        <w:t>科</w:t>
      </w:r>
      <w:r>
        <w:rPr>
          <w:rFonts w:hint="eastAsia" w:ascii="仿宋_GB2312" w:eastAsia="仿宋_GB2312"/>
          <w:b w:val="0"/>
          <w:sz w:val="32"/>
          <w:szCs w:val="32"/>
        </w:rPr>
        <w:t>室，分别是：研究中心</w:t>
      </w:r>
      <w:r>
        <w:rPr>
          <w:rFonts w:hint="eastAsia" w:ascii="仿宋_GB2312" w:eastAsia="仿宋_GB2312"/>
          <w:b w:val="0"/>
          <w:sz w:val="32"/>
          <w:szCs w:val="32"/>
          <w:lang w:eastAsia="zh-CN"/>
        </w:rPr>
        <w:t>、</w:t>
      </w:r>
      <w:r>
        <w:rPr>
          <w:rFonts w:hint="eastAsia" w:ascii="仿宋_GB2312" w:eastAsia="仿宋_GB2312"/>
          <w:b w:val="0"/>
          <w:sz w:val="32"/>
          <w:szCs w:val="32"/>
        </w:rPr>
        <w:t>文物</w:t>
      </w:r>
      <w:r>
        <w:rPr>
          <w:rFonts w:hint="eastAsia" w:ascii="仿宋_GB2312" w:eastAsia="仿宋_GB2312"/>
          <w:b w:val="0"/>
          <w:sz w:val="32"/>
          <w:szCs w:val="32"/>
          <w:lang w:val="en-US" w:eastAsia="zh-CN"/>
        </w:rPr>
        <w:t>管理</w:t>
      </w:r>
      <w:r>
        <w:rPr>
          <w:rFonts w:hint="eastAsia" w:ascii="仿宋_GB2312" w:eastAsia="仿宋_GB2312"/>
          <w:b w:val="0"/>
          <w:sz w:val="32"/>
          <w:szCs w:val="32"/>
        </w:rPr>
        <w:t>部</w:t>
      </w:r>
      <w:r>
        <w:rPr>
          <w:rFonts w:hint="eastAsia" w:ascii="仿宋_GB2312" w:eastAsia="仿宋_GB2312"/>
          <w:b w:val="0"/>
          <w:sz w:val="32"/>
          <w:szCs w:val="32"/>
          <w:lang w:eastAsia="zh-CN"/>
        </w:rPr>
        <w:t>、</w:t>
      </w:r>
      <w:r>
        <w:rPr>
          <w:rFonts w:hint="eastAsia" w:ascii="仿宋_GB2312" w:eastAsia="仿宋_GB2312"/>
          <w:b w:val="0"/>
          <w:sz w:val="32"/>
          <w:szCs w:val="32"/>
        </w:rPr>
        <w:t>美术</w:t>
      </w:r>
      <w:r>
        <w:rPr>
          <w:rFonts w:hint="eastAsia" w:ascii="仿宋_GB2312" w:eastAsia="仿宋_GB2312"/>
          <w:b w:val="0"/>
          <w:sz w:val="32"/>
          <w:szCs w:val="32"/>
          <w:lang w:val="en-US" w:eastAsia="zh-CN"/>
        </w:rPr>
        <w:t>研究</w:t>
      </w:r>
      <w:r>
        <w:rPr>
          <w:rFonts w:hint="eastAsia" w:ascii="仿宋_GB2312" w:eastAsia="仿宋_GB2312"/>
          <w:b w:val="0"/>
          <w:sz w:val="32"/>
          <w:szCs w:val="32"/>
        </w:rPr>
        <w:t>所</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文物</w:t>
      </w:r>
      <w:r>
        <w:rPr>
          <w:rFonts w:hint="eastAsia" w:ascii="仿宋_GB2312" w:eastAsia="仿宋_GB2312"/>
          <w:b w:val="0"/>
          <w:sz w:val="32"/>
          <w:szCs w:val="32"/>
        </w:rPr>
        <w:t>保护所</w:t>
      </w:r>
      <w:r>
        <w:rPr>
          <w:rFonts w:hint="eastAsia" w:ascii="仿宋_GB2312" w:eastAsia="仿宋_GB2312"/>
          <w:b w:val="0"/>
          <w:sz w:val="32"/>
          <w:szCs w:val="32"/>
          <w:lang w:eastAsia="zh-CN"/>
        </w:rPr>
        <w:t>、</w:t>
      </w:r>
      <w:r>
        <w:rPr>
          <w:rFonts w:hint="eastAsia" w:ascii="仿宋_GB2312" w:eastAsia="仿宋_GB2312"/>
          <w:b w:val="0"/>
          <w:sz w:val="32"/>
          <w:szCs w:val="32"/>
        </w:rPr>
        <w:t>遗产展示交流中心</w:t>
      </w:r>
      <w:r>
        <w:rPr>
          <w:rFonts w:hint="eastAsia" w:ascii="仿宋_GB2312" w:eastAsia="仿宋_GB2312"/>
          <w:b w:val="0"/>
          <w:sz w:val="32"/>
          <w:szCs w:val="32"/>
          <w:lang w:eastAsia="zh-CN"/>
        </w:rPr>
        <w:t>、</w:t>
      </w:r>
      <w:r>
        <w:rPr>
          <w:rFonts w:hint="eastAsia" w:ascii="仿宋_GB2312" w:eastAsia="仿宋_GB2312"/>
          <w:b w:val="0"/>
          <w:sz w:val="32"/>
          <w:szCs w:val="32"/>
        </w:rPr>
        <w:t>办公室</w:t>
      </w:r>
      <w:r>
        <w:rPr>
          <w:rFonts w:hint="eastAsia" w:ascii="仿宋_GB2312" w:eastAsia="仿宋_GB2312"/>
          <w:b w:val="0"/>
          <w:sz w:val="32"/>
          <w:szCs w:val="32"/>
          <w:lang w:eastAsia="zh-CN"/>
        </w:rPr>
        <w:t>、</w:t>
      </w:r>
      <w:r>
        <w:rPr>
          <w:rFonts w:hint="eastAsia" w:ascii="仿宋_GB2312" w:eastAsia="仿宋_GB2312"/>
          <w:b w:val="0"/>
          <w:sz w:val="32"/>
          <w:szCs w:val="32"/>
        </w:rPr>
        <w:t>财务科</w:t>
      </w:r>
      <w:r>
        <w:rPr>
          <w:rFonts w:hint="eastAsia" w:ascii="仿宋_GB2312" w:eastAsia="仿宋_GB2312"/>
          <w:b w:val="0"/>
          <w:sz w:val="32"/>
          <w:szCs w:val="32"/>
          <w:lang w:eastAsia="zh-CN"/>
        </w:rPr>
        <w:t>、</w:t>
      </w:r>
      <w:r>
        <w:rPr>
          <w:rFonts w:hint="eastAsia" w:ascii="仿宋_GB2312" w:eastAsia="仿宋_GB2312"/>
          <w:b w:val="0"/>
          <w:sz w:val="32"/>
          <w:szCs w:val="32"/>
        </w:rPr>
        <w:t>保卫科、接待部、驻乌办事处</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库木吐喇工作站</w:t>
      </w:r>
      <w:r>
        <w:rPr>
          <w:rFonts w:hint="eastAsia" w:ascii="仿宋_GB2312" w:eastAsia="仿宋_GB2312"/>
          <w:b w:val="0"/>
          <w:sz w:val="32"/>
          <w:szCs w:val="32"/>
        </w:rPr>
        <w:t>。</w:t>
      </w:r>
    </w:p>
    <w:p w14:paraId="3988C10F">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68F5C7D1">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25CAD834">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2AC8DF02">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609AC22B">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09A74253">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294AE566">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59B86A20">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438EAE9F">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6F28EBAC">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70709160">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54C4123D">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47040970">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04AB15BB">
      <w:pPr>
        <w:widowControl/>
        <w:spacing w:before="0" w:beforeLines="0" w:beforeAutospacing="0" w:after="0" w:afterLines="0" w:afterAutospacing="0" w:line="360" w:lineRule="auto"/>
        <w:ind w:firstLine="640" w:firstLineChars="200"/>
        <w:jc w:val="both"/>
        <w:rPr>
          <w:rFonts w:hint="eastAsia" w:ascii="仿宋_GB2312" w:eastAsia="仿宋_GB2312"/>
          <w:b w:val="0"/>
          <w:sz w:val="32"/>
          <w:szCs w:val="32"/>
        </w:rPr>
      </w:pPr>
    </w:p>
    <w:p w14:paraId="6BD84EA5">
      <w:pPr>
        <w:widowControl/>
        <w:spacing w:before="0" w:beforeLines="0" w:beforeAutospacing="0" w:after="0" w:afterLines="0" w:afterAutospacing="0" w:line="360" w:lineRule="auto"/>
        <w:jc w:val="both"/>
        <w:outlineLvl w:val="0"/>
        <w:rPr>
          <w:rFonts w:ascii="黑体" w:eastAsia="黑体"/>
          <w:b w:val="0"/>
          <w:sz w:val="32"/>
          <w:szCs w:val="32"/>
        </w:rPr>
      </w:pPr>
    </w:p>
    <w:p w14:paraId="283E875D">
      <w:pPr>
        <w:widowControl/>
        <w:spacing w:before="0" w:beforeLines="0" w:beforeAutospacing="0" w:after="0" w:afterLines="0" w:afterAutospacing="0" w:line="360" w:lineRule="auto"/>
        <w:jc w:val="center"/>
        <w:outlineLvl w:val="0"/>
        <w:rPr>
          <w:rFonts w:ascii="黑体" w:eastAsia="黑体"/>
          <w:sz w:val="32"/>
          <w:szCs w:val="32"/>
        </w:rPr>
      </w:pPr>
      <w:r>
        <w:rPr>
          <w:rFonts w:ascii="黑体" w:eastAsia="黑体"/>
          <w:b w:val="0"/>
          <w:sz w:val="32"/>
          <w:szCs w:val="32"/>
        </w:rPr>
        <w:t>第二部分部门决算情况说明</w:t>
      </w:r>
    </w:p>
    <w:p w14:paraId="36BC0C3F">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2554A103">
      <w:pPr>
        <w:widowControl/>
        <w:spacing w:before="0" w:beforeLines="0" w:beforeAutospacing="0" w:after="0" w:afterLines="0" w:afterAutospacing="0" w:line="360" w:lineRule="auto"/>
        <w:ind w:firstLine="643" w:firstLineChars="200"/>
        <w:jc w:val="both"/>
        <w:rPr>
          <w:rFonts w:ascii="仿宋_GB2312" w:eastAsia="仿宋_GB2312"/>
          <w:b w:val="0"/>
          <w:sz w:val="32"/>
          <w:szCs w:val="32"/>
        </w:rPr>
      </w:pPr>
      <w:r>
        <w:rPr>
          <w:rFonts w:ascii="仿宋_GB2312" w:eastAsia="仿宋_GB2312"/>
          <w:b/>
          <w:bCs/>
          <w:sz w:val="32"/>
          <w:szCs w:val="32"/>
        </w:rPr>
        <w:t>2024年度收入总计7,304.17万元</w:t>
      </w:r>
      <w:r>
        <w:rPr>
          <w:rFonts w:ascii="仿宋_GB2312" w:eastAsia="仿宋_GB2312"/>
          <w:b w:val="0"/>
          <w:sz w:val="32"/>
          <w:szCs w:val="32"/>
        </w:rPr>
        <w:t>，其中：本年收入合计5,069.06万元，使用非财政拨款结余（含专用结余）0.00万元，年初结转和结余2,235.11万元。</w:t>
      </w:r>
    </w:p>
    <w:p w14:paraId="7D77E08E">
      <w:pPr>
        <w:widowControl/>
        <w:spacing w:before="0" w:beforeLines="0" w:beforeAutospacing="0" w:after="0" w:afterLines="0" w:afterAutospacing="0" w:line="360" w:lineRule="auto"/>
        <w:ind w:firstLine="643" w:firstLineChars="200"/>
        <w:jc w:val="both"/>
        <w:rPr>
          <w:rFonts w:ascii="仿宋_GB2312" w:eastAsia="仿宋_GB2312"/>
          <w:b w:val="0"/>
          <w:sz w:val="32"/>
          <w:szCs w:val="32"/>
        </w:rPr>
      </w:pPr>
      <w:r>
        <w:rPr>
          <w:rFonts w:ascii="仿宋_GB2312" w:eastAsia="仿宋_GB2312"/>
          <w:b/>
          <w:bCs/>
          <w:sz w:val="32"/>
          <w:szCs w:val="32"/>
        </w:rPr>
        <w:t>2024年度支出总计7,304.17万元</w:t>
      </w:r>
      <w:r>
        <w:rPr>
          <w:rFonts w:ascii="仿宋_GB2312" w:eastAsia="仿宋_GB2312"/>
          <w:b w:val="0"/>
          <w:sz w:val="32"/>
          <w:szCs w:val="32"/>
        </w:rPr>
        <w:t>，其中：本年支出合计5,547.86万元，结余分配0.00万元，年末结转和结余1,756.32万元。</w:t>
      </w:r>
    </w:p>
    <w:p w14:paraId="7977E3F6">
      <w:pPr>
        <w:widowControl/>
        <w:spacing w:before="0" w:beforeLines="0" w:beforeAutospacing="0" w:after="0" w:afterLines="0" w:afterAutospacing="0" w:line="360" w:lineRule="auto"/>
        <w:ind w:firstLine="643" w:firstLineChars="200"/>
        <w:jc w:val="both"/>
        <w:rPr>
          <w:rFonts w:hint="eastAsia" w:ascii="仿宋_GB2312" w:hAnsi="Times New Roman" w:eastAsia="仿宋_GB2312" w:cs="Times New Roman"/>
          <w:kern w:val="2"/>
          <w:sz w:val="32"/>
          <w:szCs w:val="32"/>
          <w:highlight w:val="none"/>
          <w:lang w:val="en-US" w:eastAsia="zh-CN"/>
        </w:rPr>
      </w:pPr>
      <w:r>
        <w:rPr>
          <w:rFonts w:ascii="仿宋_GB2312" w:eastAsia="仿宋_GB2312"/>
          <w:b/>
          <w:bCs/>
          <w:sz w:val="32"/>
          <w:szCs w:val="32"/>
        </w:rPr>
        <w:t>收</w:t>
      </w:r>
      <w:r>
        <w:rPr>
          <w:rFonts w:hint="eastAsia" w:ascii="仿宋_GB2312" w:hAnsi="Times New Roman" w:eastAsia="仿宋_GB2312" w:cs="Times New Roman"/>
          <w:b/>
          <w:bCs/>
          <w:kern w:val="2"/>
          <w:sz w:val="32"/>
          <w:szCs w:val="32"/>
          <w:highlight w:val="none"/>
          <w:lang w:val="en-US" w:eastAsia="zh-CN"/>
        </w:rPr>
        <w:t>入支出总体与上年相比</w:t>
      </w:r>
      <w:r>
        <w:rPr>
          <w:rFonts w:hint="eastAsia" w:ascii="仿宋_GB2312" w:hAnsi="Times New Roman" w:eastAsia="仿宋_GB2312" w:cs="Times New Roman"/>
          <w:kern w:val="2"/>
          <w:sz w:val="32"/>
          <w:szCs w:val="32"/>
          <w:highlight w:val="none"/>
          <w:lang w:val="en-US" w:eastAsia="zh-CN"/>
        </w:rPr>
        <w:t>，增加1,176.56万元，增长19.20%，主要原因是：一是追加在职人员基本支出，使基本支出增加；二是追加中央补助地方公共文化服务专项资金；三是追加2024年度新疆人才发展基金项目；四是结转上年国家文物保护专项资金和自治区文物保护专项资金，导致收入支出总体与上年相比大幅增加。</w:t>
      </w:r>
    </w:p>
    <w:p w14:paraId="4A08463E">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677DDF04">
      <w:pPr>
        <w:keepNext w:val="0"/>
        <w:keepLines w:val="0"/>
        <w:pageBreakBefore w:val="0"/>
        <w:widowControl w:val="0"/>
        <w:kinsoku/>
        <w:wordWrap/>
        <w:overflowPunct/>
        <w:topLinePunct w:val="0"/>
        <w:bidi w:val="0"/>
        <w:adjustRightInd/>
        <w:snapToGrid/>
        <w:spacing w:after="0" w:line="360" w:lineRule="auto"/>
        <w:ind w:firstLine="643" w:firstLineChars="200"/>
        <w:jc w:val="both"/>
        <w:textAlignment w:val="auto"/>
        <w:rPr>
          <w:rFonts w:hint="eastAsia" w:ascii="仿宋_GB2312" w:hAnsi="Times New Roman" w:eastAsia="仿宋_GB2312" w:cs="Times New Roman"/>
          <w:kern w:val="2"/>
          <w:sz w:val="32"/>
          <w:szCs w:val="32"/>
          <w:highlight w:val="none"/>
          <w:lang w:val="en-US" w:eastAsia="zh-CN"/>
        </w:rPr>
      </w:pPr>
      <w:r>
        <w:rPr>
          <w:rFonts w:hint="eastAsia" w:ascii="仿宋_GB2312" w:hAnsi="Times New Roman" w:eastAsia="仿宋_GB2312" w:cs="Times New Roman"/>
          <w:b/>
          <w:bCs/>
          <w:kern w:val="2"/>
          <w:sz w:val="32"/>
          <w:szCs w:val="32"/>
          <w:highlight w:val="none"/>
          <w:lang w:val="en-US" w:eastAsia="zh-CN"/>
        </w:rPr>
        <w:t>本年收入5,069.06万元</w:t>
      </w:r>
      <w:r>
        <w:rPr>
          <w:rFonts w:hint="eastAsia" w:ascii="仿宋_GB2312" w:hAnsi="Times New Roman" w:eastAsia="仿宋_GB2312" w:cs="Times New Roman"/>
          <w:kern w:val="2"/>
          <w:sz w:val="32"/>
          <w:szCs w:val="32"/>
          <w:highlight w:val="none"/>
          <w:lang w:val="en-US" w:eastAsia="zh-CN"/>
        </w:rPr>
        <w:t>，其中：财政拨款收入4,694.75万元，占92.62%；上级补助收入0.00万元，占0.00%；事业收入22.70万元，占0.45%；经营收入0.00万元，占0.00%；附属单位上缴收入0.00万元，占0.00%；其他收入351.61万元，占6.94%。</w:t>
      </w:r>
    </w:p>
    <w:p w14:paraId="4D6E1286">
      <w:pPr>
        <w:widowControl/>
        <w:spacing w:before="0" w:beforeLines="0" w:beforeAutospacing="0" w:after="0" w:afterLines="0" w:afterAutospacing="0" w:line="360" w:lineRule="auto"/>
        <w:ind w:firstLine="640" w:firstLineChars="200"/>
        <w:jc w:val="left"/>
        <w:outlineLvl w:val="1"/>
        <w:rPr>
          <w:rFonts w:ascii="黑体" w:eastAsia="黑体"/>
          <w:b w:val="0"/>
          <w:sz w:val="32"/>
          <w:szCs w:val="32"/>
        </w:rPr>
      </w:pPr>
    </w:p>
    <w:p w14:paraId="0CF13EC5">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58CA6AA5">
      <w:pPr>
        <w:keepNext w:val="0"/>
        <w:keepLines w:val="0"/>
        <w:pageBreakBefore w:val="0"/>
        <w:widowControl w:val="0"/>
        <w:kinsoku/>
        <w:wordWrap/>
        <w:overflowPunct/>
        <w:topLinePunct w:val="0"/>
        <w:bidi w:val="0"/>
        <w:adjustRightInd/>
        <w:snapToGrid/>
        <w:spacing w:after="0" w:line="360" w:lineRule="auto"/>
        <w:ind w:firstLine="643" w:firstLineChars="200"/>
        <w:jc w:val="both"/>
        <w:textAlignment w:val="auto"/>
        <w:rPr>
          <w:rFonts w:hint="eastAsia" w:ascii="仿宋_GB2312" w:hAnsi="Times New Roman" w:eastAsia="仿宋_GB2312" w:cs="Times New Roman"/>
          <w:kern w:val="2"/>
          <w:sz w:val="32"/>
          <w:szCs w:val="32"/>
          <w:highlight w:val="none"/>
          <w:lang w:val="en-US" w:eastAsia="zh-CN"/>
        </w:rPr>
      </w:pPr>
      <w:r>
        <w:rPr>
          <w:rFonts w:hint="eastAsia" w:ascii="仿宋_GB2312" w:hAnsi="Times New Roman" w:eastAsia="仿宋_GB2312" w:cs="Times New Roman"/>
          <w:b/>
          <w:bCs/>
          <w:kern w:val="2"/>
          <w:sz w:val="32"/>
          <w:szCs w:val="32"/>
          <w:highlight w:val="none"/>
          <w:lang w:val="en-US" w:eastAsia="zh-CN"/>
        </w:rPr>
        <w:t>本年支出5,547.86万元</w:t>
      </w:r>
      <w:r>
        <w:rPr>
          <w:rFonts w:hint="eastAsia" w:ascii="仿宋_GB2312" w:hAnsi="Times New Roman" w:eastAsia="仿宋_GB2312" w:cs="Times New Roman"/>
          <w:kern w:val="2"/>
          <w:sz w:val="32"/>
          <w:szCs w:val="32"/>
          <w:highlight w:val="none"/>
          <w:lang w:val="en-US" w:eastAsia="zh-CN"/>
        </w:rPr>
        <w:t>，其中：基本支出1,629.74万元，占29.38%；项目支出3,918.12万元，占70.62%；上缴上级支出0.00万元，占0.00%；经营支出0.00万元，占0.00%；对附属单位补助支出0.00万元，占0.00%。</w:t>
      </w:r>
    </w:p>
    <w:p w14:paraId="1433262D">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0907AE72">
      <w:pPr>
        <w:keepNext w:val="0"/>
        <w:keepLines w:val="0"/>
        <w:pageBreakBefore w:val="0"/>
        <w:widowControl w:val="0"/>
        <w:kinsoku/>
        <w:wordWrap/>
        <w:overflowPunct/>
        <w:topLinePunct w:val="0"/>
        <w:bidi w:val="0"/>
        <w:adjustRightInd/>
        <w:snapToGrid/>
        <w:spacing w:after="0" w:line="360" w:lineRule="auto"/>
        <w:ind w:firstLine="643" w:firstLineChars="200"/>
        <w:jc w:val="both"/>
        <w:textAlignment w:val="auto"/>
        <w:rPr>
          <w:rFonts w:hint="eastAsia" w:ascii="仿宋_GB2312" w:hAnsi="Times New Roman" w:eastAsia="仿宋_GB2312" w:cs="Times New Roman"/>
          <w:kern w:val="2"/>
          <w:sz w:val="32"/>
          <w:szCs w:val="32"/>
          <w:highlight w:val="none"/>
          <w:lang w:val="en-US" w:eastAsia="zh-CN"/>
        </w:rPr>
      </w:pPr>
      <w:r>
        <w:rPr>
          <w:rFonts w:hint="eastAsia" w:ascii="仿宋_GB2312" w:hAnsi="Times New Roman" w:eastAsia="仿宋_GB2312" w:cs="Times New Roman"/>
          <w:b/>
          <w:bCs/>
          <w:kern w:val="2"/>
          <w:sz w:val="32"/>
          <w:szCs w:val="32"/>
          <w:highlight w:val="none"/>
          <w:lang w:val="en-US" w:eastAsia="zh-CN"/>
        </w:rPr>
        <w:t>2024年度财政拨款收入总计6,129.05万元</w:t>
      </w:r>
      <w:r>
        <w:rPr>
          <w:rFonts w:hint="eastAsia" w:ascii="仿宋_GB2312" w:hAnsi="Times New Roman" w:eastAsia="仿宋_GB2312" w:cs="Times New Roman"/>
          <w:kern w:val="2"/>
          <w:sz w:val="32"/>
          <w:szCs w:val="32"/>
          <w:highlight w:val="none"/>
          <w:lang w:val="en-US" w:eastAsia="zh-CN"/>
        </w:rPr>
        <w:t>，其中：年初财政拨款结转和结余1,434.30万元，本年财政拨款收入4,694.75万元。财政拨款支出总计6,129.05万元，其中：年末财政拨款结转和结余1,196.32万元，本年财政拨款支出4,932.73万元。</w:t>
      </w:r>
    </w:p>
    <w:p w14:paraId="5FAD8B8A">
      <w:pPr>
        <w:keepNext w:val="0"/>
        <w:keepLines w:val="0"/>
        <w:pageBreakBefore w:val="0"/>
        <w:widowControl w:val="0"/>
        <w:kinsoku/>
        <w:wordWrap/>
        <w:overflowPunct/>
        <w:topLinePunct w:val="0"/>
        <w:bidi w:val="0"/>
        <w:adjustRightInd/>
        <w:snapToGrid/>
        <w:spacing w:after="0" w:line="360" w:lineRule="auto"/>
        <w:ind w:firstLine="643" w:firstLineChars="200"/>
        <w:jc w:val="both"/>
        <w:textAlignment w:val="auto"/>
        <w:rPr>
          <w:rFonts w:hint="eastAsia" w:ascii="仿宋_GB2312" w:hAnsi="Times New Roman" w:eastAsia="仿宋_GB2312" w:cs="Times New Roman"/>
          <w:kern w:val="2"/>
          <w:sz w:val="32"/>
          <w:szCs w:val="32"/>
          <w:highlight w:val="none"/>
          <w:lang w:val="en-US" w:eastAsia="zh-CN"/>
        </w:rPr>
      </w:pPr>
      <w:r>
        <w:rPr>
          <w:rFonts w:hint="eastAsia" w:ascii="仿宋_GB2312" w:hAnsi="Times New Roman" w:eastAsia="仿宋_GB2312" w:cs="Times New Roman"/>
          <w:b/>
          <w:bCs/>
          <w:kern w:val="2"/>
          <w:sz w:val="32"/>
          <w:szCs w:val="32"/>
          <w:highlight w:val="none"/>
          <w:lang w:val="en-US" w:eastAsia="zh-CN"/>
        </w:rPr>
        <w:t>财政拨款收入支出总体与上年相比</w:t>
      </w:r>
      <w:r>
        <w:rPr>
          <w:rFonts w:hint="eastAsia" w:ascii="仿宋_GB2312" w:hAnsi="Times New Roman" w:eastAsia="仿宋_GB2312" w:cs="Times New Roman"/>
          <w:kern w:val="2"/>
          <w:sz w:val="32"/>
          <w:szCs w:val="32"/>
          <w:highlight w:val="none"/>
          <w:lang w:val="en-US" w:eastAsia="zh-CN"/>
        </w:rPr>
        <w:t>，增加1,530.87万元，增长33.29%，主要原因是：2024年国家文物保护项目资金、自治区文物保护专项经费和中央补助地方公共文化服务专项资金较上年大幅增加，导致财政拨款收入支出总体与上年相比大幅增加。</w:t>
      </w:r>
      <w:r>
        <w:rPr>
          <w:rFonts w:hint="eastAsia" w:ascii="仿宋_GB2312" w:hAnsi="Times New Roman" w:eastAsia="仿宋_GB2312" w:cs="Times New Roman"/>
          <w:b/>
          <w:bCs/>
          <w:kern w:val="2"/>
          <w:sz w:val="32"/>
          <w:szCs w:val="32"/>
          <w:highlight w:val="none"/>
          <w:lang w:val="en-US" w:eastAsia="zh-CN"/>
        </w:rPr>
        <w:t>与年初预算相比，</w:t>
      </w:r>
      <w:r>
        <w:rPr>
          <w:rFonts w:hint="eastAsia" w:ascii="仿宋_GB2312" w:hAnsi="Times New Roman" w:eastAsia="仿宋_GB2312" w:cs="Times New Roman"/>
          <w:kern w:val="2"/>
          <w:sz w:val="32"/>
          <w:szCs w:val="32"/>
          <w:highlight w:val="none"/>
          <w:lang w:val="en-US" w:eastAsia="zh-CN"/>
        </w:rPr>
        <w:t>年初预算数3,977.61万元，决算数6,129.05万元，预决算差异率54.09%，主要原因是：一是在职人员基本支出，使基本支出增加；二是追加中央补助地方公共文化服务专项资金；三是追加2024年度新疆人才发展基金项目；四是结转上年国家文物保护专项资金和自治区文物保护专项资金；导致与年初预算相比，预决算差异率较大。</w:t>
      </w:r>
    </w:p>
    <w:p w14:paraId="55919A7A">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444B7CF5">
      <w:pPr>
        <w:widowControl/>
        <w:spacing w:before="0" w:beforeLines="0" w:beforeAutospacing="0" w:after="0" w:afterLines="0" w:afterAutospacing="0" w:line="360" w:lineRule="auto"/>
        <w:ind w:firstLine="643"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14:paraId="2B5CDF67">
      <w:pPr>
        <w:keepNext w:val="0"/>
        <w:keepLines w:val="0"/>
        <w:pageBreakBefore w:val="0"/>
        <w:widowControl w:val="0"/>
        <w:kinsoku/>
        <w:wordWrap/>
        <w:overflowPunct/>
        <w:topLinePunct w:val="0"/>
        <w:bidi w:val="0"/>
        <w:adjustRightInd/>
        <w:snapToGrid/>
        <w:spacing w:after="0" w:line="360" w:lineRule="auto"/>
        <w:ind w:firstLine="643" w:firstLineChars="200"/>
        <w:jc w:val="both"/>
        <w:textAlignment w:val="auto"/>
        <w:rPr>
          <w:rFonts w:hint="eastAsia" w:ascii="仿宋_GB2312" w:hAnsi="Times New Roman" w:eastAsia="仿宋_GB2312" w:cs="Times New Roman"/>
          <w:kern w:val="2"/>
          <w:sz w:val="32"/>
          <w:szCs w:val="32"/>
          <w:highlight w:val="none"/>
          <w:lang w:val="en-US" w:eastAsia="zh-CN"/>
        </w:rPr>
      </w:pPr>
      <w:r>
        <w:rPr>
          <w:rFonts w:hint="eastAsia" w:ascii="仿宋_GB2312" w:hAnsi="Times New Roman" w:eastAsia="仿宋_GB2312" w:cs="Times New Roman"/>
          <w:b/>
          <w:bCs/>
          <w:kern w:val="2"/>
          <w:sz w:val="32"/>
          <w:szCs w:val="32"/>
          <w:highlight w:val="none"/>
          <w:lang w:val="en-US" w:eastAsia="zh-CN"/>
        </w:rPr>
        <w:t>2024年度一般公共预算财政拨款支出4,932.73万元</w:t>
      </w:r>
      <w:r>
        <w:rPr>
          <w:rFonts w:hint="eastAsia" w:ascii="仿宋_GB2312" w:hAnsi="Times New Roman" w:eastAsia="仿宋_GB2312" w:cs="Times New Roman"/>
          <w:kern w:val="2"/>
          <w:sz w:val="32"/>
          <w:szCs w:val="32"/>
          <w:highlight w:val="none"/>
          <w:lang w:val="en-US" w:eastAsia="zh-CN"/>
        </w:rPr>
        <w:t>，占本年支出合计的88.91%。</w:t>
      </w:r>
      <w:r>
        <w:rPr>
          <w:rFonts w:hint="eastAsia" w:ascii="仿宋_GB2312" w:hAnsi="Times New Roman" w:eastAsia="仿宋_GB2312" w:cs="Times New Roman"/>
          <w:b/>
          <w:bCs/>
          <w:kern w:val="2"/>
          <w:sz w:val="32"/>
          <w:szCs w:val="32"/>
          <w:highlight w:val="none"/>
          <w:lang w:val="en-US" w:eastAsia="zh-CN"/>
        </w:rPr>
        <w:t>与上年相比</w:t>
      </w:r>
      <w:r>
        <w:rPr>
          <w:rFonts w:hint="eastAsia" w:ascii="仿宋_GB2312" w:hAnsi="Times New Roman" w:eastAsia="仿宋_GB2312" w:cs="Times New Roman"/>
          <w:kern w:val="2"/>
          <w:sz w:val="32"/>
          <w:szCs w:val="32"/>
          <w:highlight w:val="none"/>
          <w:lang w:val="en-US" w:eastAsia="zh-CN"/>
        </w:rPr>
        <w:t>，增加1,750.80万元，增长55.02%，主要原因是：一是追加在职人员基本支出，使基本支出增加；二是追加中央补助地方公共文化服务专项资金、2024年度新疆人才发展基金项目、国家文物保护专项资金和自治区文物保护等专项资金大幅增加；导致资金支出较上年大幅增加。</w:t>
      </w:r>
      <w:r>
        <w:rPr>
          <w:rFonts w:hint="eastAsia" w:ascii="仿宋_GB2312" w:hAnsi="Times New Roman" w:eastAsia="仿宋_GB2312" w:cs="Times New Roman"/>
          <w:b/>
          <w:bCs/>
          <w:kern w:val="2"/>
          <w:sz w:val="32"/>
          <w:szCs w:val="32"/>
          <w:highlight w:val="none"/>
          <w:lang w:val="en-US" w:eastAsia="zh-CN"/>
        </w:rPr>
        <w:t>与年初预算相比</w:t>
      </w:r>
      <w:r>
        <w:rPr>
          <w:rFonts w:hint="eastAsia" w:ascii="仿宋_GB2312" w:hAnsi="Times New Roman" w:eastAsia="仿宋_GB2312" w:cs="Times New Roman"/>
          <w:kern w:val="2"/>
          <w:sz w:val="32"/>
          <w:szCs w:val="32"/>
          <w:highlight w:val="none"/>
          <w:lang w:val="en-US" w:eastAsia="zh-CN"/>
        </w:rPr>
        <w:t>，年初预算数3,977.61万元，决算数4,932.73万元，预决算差异率24.01%，主要原因是：一是本年追加基本工资及绩效考核奖，使基本支出增加；二是追加中央补助地方公共文化服务专项资金；三是追加2024年度新疆人才发展基金项目；四是追加国家文物保护专项资金；导致与年初预算相比，预决算差异率较大。</w:t>
      </w:r>
    </w:p>
    <w:p w14:paraId="7BD0365A">
      <w:pPr>
        <w:widowControl/>
        <w:spacing w:before="0" w:beforeLines="0" w:beforeAutospacing="0" w:after="0" w:afterLines="0" w:afterAutospacing="0" w:line="360" w:lineRule="auto"/>
        <w:ind w:firstLine="643"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14:paraId="74BFDA3D">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文化旅游体育与传媒支出（类）4,932.73万元，占100.00%。</w:t>
      </w:r>
    </w:p>
    <w:p w14:paraId="22AF5E46">
      <w:pPr>
        <w:widowControl/>
        <w:spacing w:before="0" w:beforeLines="0" w:beforeAutospacing="0" w:after="0" w:afterLines="0" w:afterAutospacing="0" w:line="360" w:lineRule="auto"/>
        <w:ind w:firstLine="643"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14:paraId="63F3785D">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val="en-US" w:eastAsia="zh-CN"/>
        </w:rPr>
        <w:t>1.</w:t>
      </w:r>
      <w:r>
        <w:rPr>
          <w:rFonts w:hint="eastAsia" w:ascii="仿宋_GB2312" w:hAnsi="Times New Roman" w:eastAsia="仿宋_GB2312" w:cs="Times New Roman"/>
          <w:kern w:val="2"/>
          <w:sz w:val="32"/>
          <w:szCs w:val="32"/>
          <w:highlight w:val="none"/>
          <w:lang w:eastAsia="zh-CN"/>
        </w:rPr>
        <w:t>文化旅游体育与传媒支出（类）文化和旅游（款）其他文化和旅游支出（项）：支出决算数为44.59万元，比上年决算增加22.18万元，增长98.97%，主要原因是：</w:t>
      </w:r>
      <w:r>
        <w:rPr>
          <w:rFonts w:hint="eastAsia" w:ascii="仿宋_GB2312" w:hAnsi="Times New Roman" w:eastAsia="仿宋_GB2312" w:cs="Times New Roman"/>
          <w:kern w:val="2"/>
          <w:sz w:val="32"/>
          <w:szCs w:val="32"/>
          <w:highlight w:val="none"/>
          <w:lang w:val="en-US" w:eastAsia="zh-CN"/>
        </w:rPr>
        <w:t>一是</w:t>
      </w:r>
      <w:r>
        <w:rPr>
          <w:rFonts w:hint="eastAsia" w:ascii="仿宋_GB2312" w:hAnsi="Times New Roman" w:eastAsia="仿宋_GB2312" w:cs="Times New Roman"/>
          <w:kern w:val="2"/>
          <w:sz w:val="32"/>
          <w:szCs w:val="32"/>
          <w:highlight w:val="none"/>
          <w:lang w:eastAsia="zh-CN"/>
        </w:rPr>
        <w:t>追</w:t>
      </w:r>
      <w:r>
        <w:rPr>
          <w:rFonts w:hint="eastAsia" w:ascii="仿宋_GB2312" w:hAnsi="Times New Roman" w:eastAsia="仿宋_GB2312" w:cs="Times New Roman"/>
          <w:kern w:val="2"/>
          <w:sz w:val="32"/>
          <w:szCs w:val="32"/>
          <w:highlight w:val="none"/>
          <w:lang w:val="en-US" w:eastAsia="zh-CN"/>
        </w:rPr>
        <w:t>加</w:t>
      </w:r>
      <w:r>
        <w:rPr>
          <w:rFonts w:hint="eastAsia" w:ascii="仿宋_GB2312" w:hAnsi="Times New Roman" w:eastAsia="仿宋_GB2312" w:cs="Times New Roman"/>
          <w:kern w:val="2"/>
          <w:sz w:val="32"/>
          <w:szCs w:val="32"/>
          <w:highlight w:val="none"/>
          <w:lang w:eastAsia="zh-CN"/>
        </w:rPr>
        <w:t>202</w:t>
      </w:r>
      <w:r>
        <w:rPr>
          <w:rFonts w:hint="eastAsia" w:ascii="仿宋_GB2312" w:hAnsi="Times New Roman" w:eastAsia="仿宋_GB2312" w:cs="Times New Roman"/>
          <w:kern w:val="2"/>
          <w:sz w:val="32"/>
          <w:szCs w:val="32"/>
          <w:highlight w:val="none"/>
          <w:lang w:val="en-US" w:eastAsia="zh-CN"/>
        </w:rPr>
        <w:t>4</w:t>
      </w:r>
      <w:r>
        <w:rPr>
          <w:rFonts w:hint="eastAsia" w:ascii="仿宋_GB2312" w:hAnsi="Times New Roman" w:eastAsia="仿宋_GB2312" w:cs="Times New Roman"/>
          <w:kern w:val="2"/>
          <w:sz w:val="32"/>
          <w:szCs w:val="32"/>
          <w:highlight w:val="none"/>
          <w:lang w:eastAsia="zh-CN"/>
        </w:rPr>
        <w:t>年度新疆人才发展基金项目</w:t>
      </w:r>
      <w:r>
        <w:rPr>
          <w:rFonts w:hint="eastAsia" w:ascii="仿宋_GB2312" w:hAnsi="Times New Roman" w:eastAsia="仿宋_GB2312" w:cs="Times New Roman"/>
          <w:kern w:val="2"/>
          <w:sz w:val="32"/>
          <w:szCs w:val="32"/>
          <w:highlight w:val="none"/>
          <w:lang w:val="en-US" w:eastAsia="zh-CN"/>
        </w:rPr>
        <w:t>；二是2024年文化人才专项资金拨款比上年增加；三是上年结转课题专项经费支出增加，</w:t>
      </w:r>
      <w:r>
        <w:rPr>
          <w:rFonts w:hint="eastAsia" w:ascii="仿宋_GB2312" w:hAnsi="Times New Roman" w:eastAsia="仿宋_GB2312" w:cs="Times New Roman"/>
          <w:kern w:val="2"/>
          <w:sz w:val="32"/>
          <w:szCs w:val="32"/>
          <w:highlight w:val="none"/>
          <w:lang w:val="zh-CN" w:eastAsia="zh-CN"/>
        </w:rPr>
        <w:t>导致本年支出决算数</w:t>
      </w:r>
      <w:r>
        <w:rPr>
          <w:rFonts w:hint="eastAsia" w:ascii="仿宋_GB2312" w:hAnsi="Times New Roman" w:eastAsia="仿宋_GB2312" w:cs="Times New Roman"/>
          <w:kern w:val="2"/>
          <w:sz w:val="32"/>
          <w:szCs w:val="32"/>
          <w:highlight w:val="none"/>
          <w:lang w:val="en-US" w:eastAsia="zh-CN"/>
        </w:rPr>
        <w:t>较</w:t>
      </w:r>
      <w:r>
        <w:rPr>
          <w:rFonts w:hint="eastAsia" w:ascii="仿宋_GB2312" w:hAnsi="Times New Roman" w:eastAsia="仿宋_GB2312" w:cs="Times New Roman"/>
          <w:kern w:val="2"/>
          <w:sz w:val="32"/>
          <w:szCs w:val="32"/>
          <w:highlight w:val="none"/>
          <w:lang w:val="zh-CN" w:eastAsia="zh-CN"/>
        </w:rPr>
        <w:t>上年</w:t>
      </w:r>
      <w:r>
        <w:rPr>
          <w:rFonts w:hint="eastAsia" w:ascii="仿宋_GB2312" w:hAnsi="Times New Roman" w:eastAsia="仿宋_GB2312" w:cs="Times New Roman"/>
          <w:kern w:val="2"/>
          <w:sz w:val="32"/>
          <w:szCs w:val="32"/>
          <w:highlight w:val="none"/>
          <w:lang w:val="en-US" w:eastAsia="zh-CN"/>
        </w:rPr>
        <w:t>增加</w:t>
      </w:r>
      <w:r>
        <w:rPr>
          <w:rFonts w:hint="eastAsia" w:ascii="仿宋_GB2312" w:hAnsi="Times New Roman" w:eastAsia="仿宋_GB2312" w:cs="Times New Roman"/>
          <w:kern w:val="2"/>
          <w:sz w:val="32"/>
          <w:szCs w:val="32"/>
          <w:highlight w:val="none"/>
          <w:lang w:val="zh-CN" w:eastAsia="zh-CN"/>
        </w:rPr>
        <w:t>。</w:t>
      </w:r>
    </w:p>
    <w:p w14:paraId="78964D0C">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val="en-US" w:eastAsia="zh-CN"/>
        </w:rPr>
        <w:t>2.</w:t>
      </w:r>
      <w:r>
        <w:rPr>
          <w:rFonts w:hint="eastAsia" w:ascii="仿宋_GB2312" w:hAnsi="Times New Roman" w:eastAsia="仿宋_GB2312" w:cs="Times New Roman"/>
          <w:kern w:val="2"/>
          <w:sz w:val="32"/>
          <w:szCs w:val="32"/>
          <w:highlight w:val="none"/>
          <w:lang w:eastAsia="zh-CN"/>
        </w:rPr>
        <w:t>文化旅游体育与传媒支出（类）文物（款）文物保护（项）：支出决算数为4,419.20万元，比上年决算增加1,264.32万元，增长40.08%，主要原因是：</w:t>
      </w:r>
      <w:r>
        <w:rPr>
          <w:rFonts w:hint="eastAsia" w:ascii="仿宋_GB2312" w:hAnsi="Times New Roman" w:eastAsia="仿宋_GB2312" w:cs="Times New Roman"/>
          <w:kern w:val="2"/>
          <w:sz w:val="32"/>
          <w:szCs w:val="32"/>
          <w:highlight w:val="none"/>
          <w:lang w:val="en-US" w:eastAsia="zh-CN"/>
        </w:rPr>
        <w:t>本年度中央补助地方公共文化服务专项资金、国家文物保护专项资金和自治区</w:t>
      </w:r>
      <w:r>
        <w:rPr>
          <w:rFonts w:hint="eastAsia" w:ascii="仿宋_GB2312" w:hAnsi="Times New Roman" w:eastAsia="仿宋_GB2312" w:cs="Times New Roman"/>
          <w:kern w:val="2"/>
          <w:sz w:val="32"/>
          <w:szCs w:val="32"/>
          <w:highlight w:val="none"/>
          <w:lang w:val="zh-CN" w:eastAsia="zh-CN"/>
        </w:rPr>
        <w:t>文物保护项</w:t>
      </w:r>
      <w:r>
        <w:rPr>
          <w:rFonts w:hint="eastAsia" w:ascii="仿宋_GB2312" w:hAnsi="Times New Roman" w:eastAsia="仿宋_GB2312" w:cs="Times New Roman"/>
          <w:kern w:val="2"/>
          <w:sz w:val="32"/>
          <w:szCs w:val="32"/>
          <w:highlight w:val="none"/>
          <w:lang w:val="en-US" w:eastAsia="zh-CN"/>
        </w:rPr>
        <w:t>目</w:t>
      </w:r>
      <w:r>
        <w:rPr>
          <w:rFonts w:hint="eastAsia" w:ascii="仿宋_GB2312" w:hAnsi="Times New Roman" w:eastAsia="仿宋_GB2312" w:cs="Times New Roman"/>
          <w:kern w:val="2"/>
          <w:sz w:val="32"/>
          <w:szCs w:val="32"/>
          <w:highlight w:val="none"/>
          <w:lang w:val="zh-CN" w:eastAsia="zh-CN"/>
        </w:rPr>
        <w:t>资金较上年度拨款</w:t>
      </w:r>
      <w:r>
        <w:rPr>
          <w:rFonts w:hint="eastAsia" w:ascii="仿宋_GB2312" w:hAnsi="Times New Roman" w:eastAsia="仿宋_GB2312" w:cs="Times New Roman"/>
          <w:kern w:val="2"/>
          <w:sz w:val="32"/>
          <w:szCs w:val="32"/>
          <w:highlight w:val="none"/>
          <w:lang w:val="en-US" w:eastAsia="zh-CN"/>
        </w:rPr>
        <w:t>资金大幅增加</w:t>
      </w:r>
      <w:r>
        <w:rPr>
          <w:rFonts w:hint="eastAsia" w:ascii="仿宋_GB2312" w:hAnsi="Times New Roman" w:eastAsia="仿宋_GB2312" w:cs="Times New Roman"/>
          <w:kern w:val="2"/>
          <w:sz w:val="32"/>
          <w:szCs w:val="32"/>
          <w:highlight w:val="none"/>
          <w:lang w:val="zh-CN" w:eastAsia="zh-CN"/>
        </w:rPr>
        <w:t>，导致本年支出决算数</w:t>
      </w:r>
      <w:r>
        <w:rPr>
          <w:rFonts w:hint="eastAsia" w:ascii="仿宋_GB2312" w:hAnsi="Times New Roman" w:eastAsia="仿宋_GB2312" w:cs="Times New Roman"/>
          <w:kern w:val="2"/>
          <w:sz w:val="32"/>
          <w:szCs w:val="32"/>
          <w:highlight w:val="none"/>
          <w:lang w:val="en-US" w:eastAsia="zh-CN"/>
        </w:rPr>
        <w:t>较</w:t>
      </w:r>
      <w:r>
        <w:rPr>
          <w:rFonts w:hint="eastAsia" w:ascii="仿宋_GB2312" w:hAnsi="Times New Roman" w:eastAsia="仿宋_GB2312" w:cs="Times New Roman"/>
          <w:kern w:val="2"/>
          <w:sz w:val="32"/>
          <w:szCs w:val="32"/>
          <w:highlight w:val="none"/>
          <w:lang w:val="zh-CN" w:eastAsia="zh-CN"/>
        </w:rPr>
        <w:t>上年</w:t>
      </w:r>
      <w:r>
        <w:rPr>
          <w:rFonts w:hint="eastAsia" w:ascii="仿宋_GB2312" w:hAnsi="Times New Roman" w:eastAsia="仿宋_GB2312" w:cs="Times New Roman"/>
          <w:kern w:val="2"/>
          <w:sz w:val="32"/>
          <w:szCs w:val="32"/>
          <w:highlight w:val="none"/>
          <w:lang w:val="en-US" w:eastAsia="zh-CN"/>
        </w:rPr>
        <w:t>增加</w:t>
      </w:r>
      <w:r>
        <w:rPr>
          <w:rFonts w:hint="eastAsia" w:ascii="仿宋_GB2312" w:hAnsi="Times New Roman" w:eastAsia="仿宋_GB2312" w:cs="Times New Roman"/>
          <w:kern w:val="2"/>
          <w:sz w:val="32"/>
          <w:szCs w:val="32"/>
          <w:highlight w:val="none"/>
          <w:lang w:val="zh-CN" w:eastAsia="zh-CN"/>
        </w:rPr>
        <w:t>。</w:t>
      </w:r>
    </w:p>
    <w:p w14:paraId="57E9EAEA">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val="en-US" w:eastAsia="zh-CN"/>
        </w:rPr>
        <w:t>3.</w:t>
      </w:r>
      <w:r>
        <w:rPr>
          <w:rFonts w:hint="eastAsia" w:ascii="仿宋_GB2312" w:hAnsi="Times New Roman" w:eastAsia="仿宋_GB2312" w:cs="Times New Roman"/>
          <w:kern w:val="2"/>
          <w:sz w:val="32"/>
          <w:szCs w:val="32"/>
          <w:highlight w:val="none"/>
          <w:lang w:eastAsia="zh-CN"/>
        </w:rPr>
        <w:t>文化旅游体育与传媒支出（类）文物（款）博物馆（项）：支出决算数为391.72万元，比上年决算增加391.72万元，增长</w:t>
      </w:r>
      <w:r>
        <w:rPr>
          <w:rFonts w:hint="eastAsia" w:ascii="仿宋_GB2312" w:hAnsi="Times New Roman" w:eastAsia="仿宋_GB2312" w:cs="Times New Roman"/>
          <w:kern w:val="2"/>
          <w:sz w:val="32"/>
          <w:szCs w:val="32"/>
          <w:highlight w:val="none"/>
          <w:lang w:val="en-US" w:eastAsia="zh-CN"/>
        </w:rPr>
        <w:t>10</w:t>
      </w:r>
      <w:r>
        <w:rPr>
          <w:rFonts w:hint="eastAsia" w:ascii="仿宋_GB2312" w:hAnsi="Times New Roman" w:eastAsia="仿宋_GB2312" w:cs="Times New Roman"/>
          <w:kern w:val="2"/>
          <w:sz w:val="32"/>
          <w:szCs w:val="32"/>
          <w:highlight w:val="none"/>
          <w:lang w:eastAsia="zh-CN"/>
        </w:rPr>
        <w:t>0.00%，主要原因是：</w:t>
      </w:r>
      <w:r>
        <w:rPr>
          <w:rFonts w:hint="eastAsia" w:ascii="仿宋_GB2312" w:hAnsi="Times New Roman" w:eastAsia="仿宋_GB2312" w:cs="Times New Roman"/>
          <w:kern w:val="2"/>
          <w:sz w:val="32"/>
          <w:szCs w:val="32"/>
          <w:highlight w:val="none"/>
          <w:lang w:val="en-US" w:eastAsia="zh-CN"/>
        </w:rPr>
        <w:t>上年结转专项</w:t>
      </w:r>
      <w:r>
        <w:rPr>
          <w:rFonts w:hint="eastAsia" w:ascii="仿宋_GB2312" w:hAnsi="Times New Roman" w:eastAsia="仿宋_GB2312" w:cs="Times New Roman"/>
          <w:kern w:val="2"/>
          <w:sz w:val="32"/>
          <w:szCs w:val="32"/>
          <w:highlight w:val="none"/>
          <w:lang w:eastAsia="zh-CN"/>
        </w:rPr>
        <w:t>自治区龟兹石窟博物馆展览</w:t>
      </w:r>
      <w:r>
        <w:rPr>
          <w:rFonts w:hint="eastAsia" w:ascii="仿宋_GB2312" w:hAnsi="Times New Roman" w:eastAsia="仿宋_GB2312" w:cs="Times New Roman"/>
          <w:kern w:val="2"/>
          <w:sz w:val="32"/>
          <w:szCs w:val="32"/>
          <w:highlight w:val="none"/>
          <w:lang w:val="en-US" w:eastAsia="zh-CN"/>
        </w:rPr>
        <w:t>经费本年度支出增加，</w:t>
      </w:r>
      <w:r>
        <w:rPr>
          <w:rFonts w:hint="eastAsia" w:ascii="仿宋_GB2312" w:hAnsi="Times New Roman" w:eastAsia="仿宋_GB2312" w:cs="Times New Roman"/>
          <w:kern w:val="2"/>
          <w:sz w:val="32"/>
          <w:szCs w:val="32"/>
          <w:highlight w:val="none"/>
          <w:lang w:val="zh-CN" w:eastAsia="zh-CN"/>
        </w:rPr>
        <w:t>导致本年支出决算数</w:t>
      </w:r>
      <w:r>
        <w:rPr>
          <w:rFonts w:hint="eastAsia" w:ascii="仿宋_GB2312" w:hAnsi="Times New Roman" w:eastAsia="仿宋_GB2312" w:cs="Times New Roman"/>
          <w:kern w:val="2"/>
          <w:sz w:val="32"/>
          <w:szCs w:val="32"/>
          <w:highlight w:val="none"/>
          <w:lang w:val="en-US" w:eastAsia="zh-CN"/>
        </w:rPr>
        <w:t>较</w:t>
      </w:r>
      <w:r>
        <w:rPr>
          <w:rFonts w:hint="eastAsia" w:ascii="仿宋_GB2312" w:hAnsi="Times New Roman" w:eastAsia="仿宋_GB2312" w:cs="Times New Roman"/>
          <w:kern w:val="2"/>
          <w:sz w:val="32"/>
          <w:szCs w:val="32"/>
          <w:highlight w:val="none"/>
          <w:lang w:val="zh-CN" w:eastAsia="zh-CN"/>
        </w:rPr>
        <w:t>上年</w:t>
      </w:r>
      <w:r>
        <w:rPr>
          <w:rFonts w:hint="eastAsia" w:ascii="仿宋_GB2312" w:hAnsi="Times New Roman" w:eastAsia="仿宋_GB2312" w:cs="Times New Roman"/>
          <w:kern w:val="2"/>
          <w:sz w:val="32"/>
          <w:szCs w:val="32"/>
          <w:highlight w:val="none"/>
          <w:lang w:val="en-US" w:eastAsia="zh-CN"/>
        </w:rPr>
        <w:t>增加</w:t>
      </w:r>
      <w:r>
        <w:rPr>
          <w:rFonts w:hint="eastAsia" w:ascii="仿宋_GB2312" w:hAnsi="Times New Roman" w:eastAsia="仿宋_GB2312" w:cs="Times New Roman"/>
          <w:kern w:val="2"/>
          <w:sz w:val="32"/>
          <w:szCs w:val="32"/>
          <w:highlight w:val="none"/>
          <w:lang w:val="zh-CN" w:eastAsia="zh-CN"/>
        </w:rPr>
        <w:t>。</w:t>
      </w:r>
    </w:p>
    <w:p w14:paraId="35E5FBC6">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val="en-US" w:eastAsia="zh-CN"/>
        </w:rPr>
        <w:t>4.</w:t>
      </w:r>
      <w:r>
        <w:rPr>
          <w:rFonts w:hint="eastAsia" w:ascii="仿宋_GB2312" w:hAnsi="Times New Roman" w:eastAsia="仿宋_GB2312" w:cs="Times New Roman"/>
          <w:kern w:val="2"/>
          <w:sz w:val="32"/>
          <w:szCs w:val="32"/>
          <w:highlight w:val="none"/>
          <w:lang w:eastAsia="zh-CN"/>
        </w:rPr>
        <w:t>文化旅游体育与传媒支出（类）其他文化旅游体育与传媒支出（款）其他文化旅游体育与传媒支出（项）：支出决算数为77.21万元，比上年决算增加72.85万元，增长1,670.87%，主要原因是：</w:t>
      </w:r>
      <w:r>
        <w:rPr>
          <w:rFonts w:hint="eastAsia" w:ascii="仿宋_GB2312" w:hAnsi="Times New Roman" w:eastAsia="仿宋_GB2312" w:cs="Times New Roman"/>
          <w:kern w:val="2"/>
          <w:sz w:val="32"/>
          <w:szCs w:val="32"/>
          <w:highlight w:val="none"/>
          <w:lang w:val="en-US" w:eastAsia="zh-CN"/>
        </w:rPr>
        <w:t>上年结转专项</w:t>
      </w:r>
      <w:r>
        <w:rPr>
          <w:rFonts w:hint="eastAsia" w:ascii="仿宋_GB2312" w:hAnsi="Times New Roman" w:eastAsia="仿宋_GB2312" w:cs="Times New Roman"/>
          <w:kern w:val="2"/>
          <w:sz w:val="32"/>
          <w:szCs w:val="32"/>
          <w:highlight w:val="none"/>
          <w:lang w:eastAsia="zh-CN"/>
        </w:rPr>
        <w:t>克孜尔千佛洞文物保护利用设施建设项目</w:t>
      </w:r>
      <w:r>
        <w:rPr>
          <w:rFonts w:hint="eastAsia" w:ascii="仿宋_GB2312" w:hAnsi="Times New Roman" w:eastAsia="仿宋_GB2312" w:cs="Times New Roman"/>
          <w:kern w:val="2"/>
          <w:sz w:val="32"/>
          <w:szCs w:val="32"/>
          <w:highlight w:val="none"/>
          <w:lang w:val="en-US" w:eastAsia="zh-CN"/>
        </w:rPr>
        <w:t>支出增加，</w:t>
      </w:r>
      <w:r>
        <w:rPr>
          <w:rFonts w:hint="eastAsia" w:ascii="仿宋_GB2312" w:hAnsi="Times New Roman" w:eastAsia="仿宋_GB2312" w:cs="Times New Roman"/>
          <w:kern w:val="2"/>
          <w:sz w:val="32"/>
          <w:szCs w:val="32"/>
          <w:highlight w:val="none"/>
          <w:lang w:val="zh-CN" w:eastAsia="zh-CN"/>
        </w:rPr>
        <w:t>导致本年支出决算数</w:t>
      </w:r>
      <w:r>
        <w:rPr>
          <w:rFonts w:hint="eastAsia" w:ascii="仿宋_GB2312" w:hAnsi="Times New Roman" w:eastAsia="仿宋_GB2312" w:cs="Times New Roman"/>
          <w:kern w:val="2"/>
          <w:sz w:val="32"/>
          <w:szCs w:val="32"/>
          <w:highlight w:val="none"/>
          <w:lang w:val="en-US" w:eastAsia="zh-CN"/>
        </w:rPr>
        <w:t>较</w:t>
      </w:r>
      <w:r>
        <w:rPr>
          <w:rFonts w:hint="eastAsia" w:ascii="仿宋_GB2312" w:hAnsi="Times New Roman" w:eastAsia="仿宋_GB2312" w:cs="Times New Roman"/>
          <w:kern w:val="2"/>
          <w:sz w:val="32"/>
          <w:szCs w:val="32"/>
          <w:highlight w:val="none"/>
          <w:lang w:val="zh-CN" w:eastAsia="zh-CN"/>
        </w:rPr>
        <w:t>上年</w:t>
      </w:r>
      <w:r>
        <w:rPr>
          <w:rFonts w:hint="eastAsia" w:ascii="仿宋_GB2312" w:hAnsi="Times New Roman" w:eastAsia="仿宋_GB2312" w:cs="Times New Roman"/>
          <w:kern w:val="2"/>
          <w:sz w:val="32"/>
          <w:szCs w:val="32"/>
          <w:highlight w:val="none"/>
          <w:lang w:val="en-US" w:eastAsia="zh-CN"/>
        </w:rPr>
        <w:t>增加</w:t>
      </w:r>
      <w:r>
        <w:rPr>
          <w:rFonts w:hint="eastAsia" w:ascii="仿宋_GB2312" w:hAnsi="Times New Roman" w:eastAsia="仿宋_GB2312" w:cs="Times New Roman"/>
          <w:kern w:val="2"/>
          <w:sz w:val="32"/>
          <w:szCs w:val="32"/>
          <w:highlight w:val="none"/>
          <w:lang w:val="zh-CN" w:eastAsia="zh-CN"/>
        </w:rPr>
        <w:t>。</w:t>
      </w:r>
    </w:p>
    <w:p w14:paraId="5BCDB2AC">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val="en-US" w:eastAsia="zh-CN"/>
        </w:rPr>
        <w:t>5.</w:t>
      </w:r>
      <w:r>
        <w:rPr>
          <w:rFonts w:hint="eastAsia" w:ascii="仿宋_GB2312" w:hAnsi="Times New Roman" w:eastAsia="仿宋_GB2312" w:cs="Times New Roman"/>
          <w:kern w:val="2"/>
          <w:sz w:val="32"/>
          <w:szCs w:val="32"/>
          <w:highlight w:val="none"/>
          <w:lang w:eastAsia="zh-CN"/>
        </w:rPr>
        <w:t>社会保障和就业支出（类）行政事业单位养老支出（款）事业单位离退休（项）：支出决算数为0.00万元，比上年决算减少0.28万元，下降100.00%，主要原因是：</w:t>
      </w:r>
      <w:r>
        <w:rPr>
          <w:rFonts w:hint="eastAsia" w:ascii="仿宋_GB2312" w:hAnsi="Times New Roman" w:eastAsia="仿宋_GB2312" w:cs="Times New Roman"/>
          <w:kern w:val="2"/>
          <w:sz w:val="32"/>
          <w:szCs w:val="32"/>
          <w:highlight w:val="none"/>
          <w:lang w:val="en-US" w:eastAsia="zh-CN"/>
        </w:rPr>
        <w:t>2023年补发单位离退休人员艰边贴，2024年无该项资金，故导致此项支出决算数比上年决算数减少。</w:t>
      </w:r>
    </w:p>
    <w:p w14:paraId="5877FAAF">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50BCC109">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val="0"/>
          <w:bCs w:val="0"/>
          <w:kern w:val="2"/>
          <w:sz w:val="32"/>
          <w:szCs w:val="32"/>
          <w:highlight w:val="none"/>
          <w:lang w:eastAsia="zh-CN"/>
        </w:rPr>
        <w:t>2024年度一般公共预算财政拨款基本支出1,628.13万元</w:t>
      </w:r>
      <w:r>
        <w:rPr>
          <w:rFonts w:hint="eastAsia" w:ascii="仿宋_GB2312" w:hAnsi="Times New Roman" w:eastAsia="仿宋_GB2312" w:cs="Times New Roman"/>
          <w:kern w:val="2"/>
          <w:sz w:val="32"/>
          <w:szCs w:val="32"/>
          <w:highlight w:val="none"/>
          <w:lang w:eastAsia="zh-CN"/>
        </w:rPr>
        <w:t>，其中：</w:t>
      </w:r>
      <w:r>
        <w:rPr>
          <w:rFonts w:hint="eastAsia" w:ascii="仿宋_GB2312" w:hAnsi="Times New Roman" w:eastAsia="仿宋_GB2312" w:cs="Times New Roman"/>
          <w:b/>
          <w:bCs/>
          <w:kern w:val="2"/>
          <w:sz w:val="32"/>
          <w:szCs w:val="32"/>
          <w:highlight w:val="none"/>
          <w:lang w:eastAsia="zh-CN"/>
        </w:rPr>
        <w:t>人员经费1,539.79万元</w:t>
      </w:r>
      <w:r>
        <w:rPr>
          <w:rFonts w:hint="eastAsia" w:ascii="仿宋_GB2312" w:hAnsi="Times New Roman" w:eastAsia="仿宋_GB2312" w:cs="Times New Roman"/>
          <w:kern w:val="2"/>
          <w:sz w:val="32"/>
          <w:szCs w:val="32"/>
          <w:highlight w:val="none"/>
          <w:lang w:eastAsia="zh-CN"/>
        </w:rPr>
        <w:t>，包括：基本工资、津贴补贴、奖金、绩效工资、机关事业单位基本养老保险缴费、职业年金缴费、职工基本医疗保险缴费、公务员医疗补助缴费、其他社会保障缴费、住房公积金、其他工资福利支出、退休费、抚恤金、生活补助和其他对个人和家庭的补助。</w:t>
      </w:r>
    </w:p>
    <w:p w14:paraId="73D2294D">
      <w:pPr>
        <w:keepNext w:val="0"/>
        <w:keepLines w:val="0"/>
        <w:pageBreakBefore w:val="0"/>
        <w:widowControl w:val="0"/>
        <w:kinsoku/>
        <w:wordWrap/>
        <w:overflowPunct/>
        <w:topLinePunct w:val="0"/>
        <w:bidi w:val="0"/>
        <w:adjustRightInd/>
        <w:snapToGrid/>
        <w:spacing w:after="0" w:line="360" w:lineRule="auto"/>
        <w:ind w:firstLine="643"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公用经费88.33万元</w:t>
      </w:r>
      <w:r>
        <w:rPr>
          <w:rFonts w:hint="eastAsia" w:ascii="仿宋_GB2312" w:hAnsi="Times New Roman" w:eastAsia="仿宋_GB2312" w:cs="Times New Roman"/>
          <w:kern w:val="2"/>
          <w:sz w:val="32"/>
          <w:szCs w:val="32"/>
          <w:highlight w:val="none"/>
          <w:lang w:eastAsia="zh-CN"/>
        </w:rPr>
        <w:t>，包括：办公费、电费、邮电费、物业管理费、差旅费、培训费、工会经费、福利费、公务用车运行维护费和其他商品和服务支出。</w:t>
      </w:r>
    </w:p>
    <w:p w14:paraId="0AE596E7">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70820A6A">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本单位本年度无政府性基金预算财政拨款收入支出及结转和结余，政府性基金预算财政拨款收入支出决算表为空表。</w:t>
      </w:r>
    </w:p>
    <w:p w14:paraId="12489ACA">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5FCC1BBA">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本单位本年度无国有资本经营预算财政拨款收入、支出及结转和结余，国有资本经营预算财政拨款收入支出决算表为空表。</w:t>
      </w:r>
    </w:p>
    <w:p w14:paraId="3C332509">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052455E7">
      <w:pPr>
        <w:keepNext w:val="0"/>
        <w:keepLines w:val="0"/>
        <w:pageBreakBefore w:val="0"/>
        <w:widowControl w:val="0"/>
        <w:kinsoku/>
        <w:wordWrap/>
        <w:overflowPunct/>
        <w:topLinePunct w:val="0"/>
        <w:bidi w:val="0"/>
        <w:adjustRightInd/>
        <w:snapToGrid/>
        <w:spacing w:after="0" w:line="360" w:lineRule="auto"/>
        <w:ind w:firstLine="643" w:firstLineChars="200"/>
        <w:jc w:val="both"/>
        <w:textAlignment w:val="auto"/>
        <w:rPr>
          <w:rFonts w:hint="eastAsia" w:ascii="仿宋_GB2312" w:hAnsi="Times New Roman" w:eastAsia="仿宋_GB2312" w:cs="Times New Roman"/>
          <w:kern w:val="2"/>
          <w:sz w:val="32"/>
          <w:szCs w:val="32"/>
          <w:highlight w:val="none"/>
          <w:lang w:val="en-US" w:eastAsia="zh-CN"/>
        </w:rPr>
      </w:pPr>
      <w:r>
        <w:rPr>
          <w:rFonts w:hint="eastAsia" w:ascii="仿宋_GB2312" w:hAnsi="Times New Roman" w:eastAsia="仿宋_GB2312" w:cs="Times New Roman"/>
          <w:b/>
          <w:bCs/>
          <w:kern w:val="2"/>
          <w:sz w:val="32"/>
          <w:szCs w:val="32"/>
          <w:highlight w:val="none"/>
          <w:lang w:eastAsia="zh-CN"/>
        </w:rPr>
        <w:t>2024年度财政拨款“三公”经费支出17.96万元，</w:t>
      </w:r>
      <w:r>
        <w:rPr>
          <w:rFonts w:hint="eastAsia" w:ascii="仿宋_GB2312" w:hAnsi="Times New Roman" w:eastAsia="仿宋_GB2312" w:cs="Times New Roman"/>
          <w:kern w:val="2"/>
          <w:sz w:val="32"/>
          <w:szCs w:val="32"/>
          <w:highlight w:val="none"/>
          <w:lang w:eastAsia="zh-CN"/>
        </w:rPr>
        <w:t>比上年减少0.03万元，下降</w:t>
      </w:r>
      <w:r>
        <w:rPr>
          <w:rFonts w:hint="eastAsia" w:ascii="仿宋_GB2312" w:hAnsi="Times New Roman" w:eastAsia="仿宋_GB2312" w:cs="Times New Roman"/>
          <w:kern w:val="2"/>
          <w:sz w:val="32"/>
          <w:szCs w:val="32"/>
          <w:highlight w:val="none"/>
          <w:lang w:val="en-US" w:eastAsia="zh-CN"/>
        </w:rPr>
        <w:t>0.17</w:t>
      </w:r>
      <w:r>
        <w:rPr>
          <w:rFonts w:hint="eastAsia" w:ascii="仿宋_GB2312" w:hAnsi="Times New Roman" w:eastAsia="仿宋_GB2312" w:cs="Times New Roman"/>
          <w:kern w:val="2"/>
          <w:sz w:val="32"/>
          <w:szCs w:val="32"/>
          <w:highlight w:val="none"/>
          <w:lang w:eastAsia="zh-CN"/>
        </w:rPr>
        <w:t>%，主要原因是：</w:t>
      </w:r>
      <w:r>
        <w:rPr>
          <w:rFonts w:hint="eastAsia" w:ascii="仿宋_GB2312" w:hAnsi="Times New Roman" w:eastAsia="仿宋_GB2312" w:cs="Times New Roman"/>
          <w:kern w:val="2"/>
          <w:sz w:val="32"/>
          <w:szCs w:val="32"/>
          <w:highlight w:val="none"/>
          <w:lang w:val="zh-CN" w:eastAsia="zh-CN"/>
        </w:rPr>
        <w:t>根据要求逐年压减“三公”经费支出</w:t>
      </w:r>
      <w:r>
        <w:rPr>
          <w:rFonts w:hint="eastAsia" w:ascii="仿宋_GB2312" w:hAnsi="Times New Roman" w:eastAsia="仿宋_GB2312" w:cs="Times New Roman"/>
          <w:kern w:val="2"/>
          <w:sz w:val="32"/>
          <w:szCs w:val="32"/>
          <w:highlight w:val="none"/>
          <w:lang w:eastAsia="zh-CN"/>
        </w:rPr>
        <w:t>。其中：因公出国（境）费支出0.00万元，占0.00%，比上年增加</w:t>
      </w:r>
      <w:r>
        <w:rPr>
          <w:rFonts w:hint="eastAsia" w:ascii="仿宋_GB2312" w:eastAsia="仿宋_GB2312"/>
          <w:color w:val="auto"/>
          <w:sz w:val="32"/>
          <w:szCs w:val="32"/>
          <w:highlight w:val="none"/>
          <w:lang w:val="zh-CN" w:eastAsia="zh-CN"/>
        </w:rPr>
        <w:t>0.00万元，增长0.</w:t>
      </w:r>
      <w:r>
        <w:rPr>
          <w:rFonts w:hint="eastAsia" w:ascii="仿宋_GB2312" w:hAnsi="Times New Roman" w:eastAsia="仿宋_GB2312" w:cs="Times New Roman"/>
          <w:kern w:val="2"/>
          <w:sz w:val="32"/>
          <w:szCs w:val="32"/>
          <w:highlight w:val="none"/>
          <w:lang w:val="zh-CN" w:eastAsia="zh-CN"/>
        </w:rPr>
        <w:t>00%</w:t>
      </w:r>
      <w:r>
        <w:rPr>
          <w:rFonts w:hint="eastAsia" w:ascii="仿宋_GB2312" w:hAnsi="Times New Roman" w:eastAsia="仿宋_GB2312" w:cs="Times New Roman"/>
          <w:kern w:val="2"/>
          <w:sz w:val="32"/>
          <w:szCs w:val="32"/>
          <w:highlight w:val="none"/>
          <w:lang w:val="en-US" w:eastAsia="zh-CN"/>
        </w:rPr>
        <w:t>，主要原因是：我单位 2023 年和 2024 年均无因公出国（境）事项，故本年与上年无差异；公务用车购置及运行维护费支出17.96</w:t>
      </w:r>
      <w:r>
        <w:rPr>
          <w:rFonts w:hint="eastAsia" w:ascii="仿宋_GB2312" w:hAnsi="Times New Roman" w:eastAsia="仿宋_GB2312" w:cs="Times New Roman"/>
          <w:kern w:val="2"/>
          <w:sz w:val="32"/>
          <w:szCs w:val="32"/>
          <w:highlight w:val="none"/>
          <w:lang w:eastAsia="zh-CN"/>
        </w:rPr>
        <w:t>万元，占100.00%，比上年减少0.03万元，下降0.17%，主要原因是：</w:t>
      </w:r>
      <w:r>
        <w:rPr>
          <w:rFonts w:hint="eastAsia" w:ascii="仿宋_GB2312" w:hAnsi="Times New Roman" w:eastAsia="仿宋_GB2312" w:cs="Times New Roman"/>
          <w:kern w:val="2"/>
          <w:sz w:val="32"/>
          <w:szCs w:val="32"/>
          <w:highlight w:val="none"/>
          <w:lang w:val="zh-CN" w:eastAsia="zh-CN"/>
        </w:rPr>
        <w:t>根据要求逐年压减“三公”经费支出</w:t>
      </w:r>
      <w:r>
        <w:rPr>
          <w:rFonts w:hint="eastAsia" w:ascii="仿宋_GB2312" w:hAnsi="Times New Roman" w:eastAsia="仿宋_GB2312" w:cs="Times New Roman"/>
          <w:kern w:val="2"/>
          <w:sz w:val="32"/>
          <w:szCs w:val="32"/>
          <w:highlight w:val="none"/>
          <w:lang w:eastAsia="zh-CN"/>
        </w:rPr>
        <w:t>；公务接待费支出0.00万元，占0.00%，比上年增加</w:t>
      </w:r>
      <w:r>
        <w:rPr>
          <w:rFonts w:hint="eastAsia" w:ascii="仿宋_GB2312" w:eastAsia="仿宋_GB2312"/>
          <w:color w:val="auto"/>
          <w:sz w:val="32"/>
          <w:szCs w:val="32"/>
          <w:highlight w:val="none"/>
          <w:lang w:val="zh-CN" w:eastAsia="zh-CN"/>
        </w:rPr>
        <w:t>0.00万元，增长0.00%，</w:t>
      </w:r>
      <w:r>
        <w:rPr>
          <w:rFonts w:hint="eastAsia" w:ascii="仿宋_GB2312" w:hAnsi="Times New Roman" w:eastAsia="仿宋_GB2312" w:cs="Times New Roman"/>
          <w:kern w:val="2"/>
          <w:sz w:val="32"/>
          <w:szCs w:val="32"/>
          <w:highlight w:val="none"/>
          <w:lang w:eastAsia="zh-CN"/>
        </w:rPr>
        <w:t>主要原因是：</w:t>
      </w:r>
      <w:r>
        <w:rPr>
          <w:rFonts w:hint="eastAsia" w:ascii="仿宋_GB2312" w:hAnsi="Times New Roman" w:eastAsia="仿宋_GB2312" w:cs="Times New Roman"/>
          <w:kern w:val="2"/>
          <w:sz w:val="32"/>
          <w:szCs w:val="32"/>
          <w:highlight w:val="none"/>
          <w:lang w:val="en-US" w:eastAsia="zh-CN"/>
        </w:rPr>
        <w:t>我单位2023年和2024年均无公务接待费事项，故本年与上年无差异。</w:t>
      </w:r>
    </w:p>
    <w:p w14:paraId="2D3B87AB">
      <w:pPr>
        <w:keepNext w:val="0"/>
        <w:keepLines w:val="0"/>
        <w:pageBreakBefore w:val="0"/>
        <w:widowControl w:val="0"/>
        <w:kinsoku/>
        <w:wordWrap/>
        <w:overflowPunct/>
        <w:topLinePunct w:val="0"/>
        <w:bidi w:val="0"/>
        <w:adjustRightInd/>
        <w:snapToGrid/>
        <w:spacing w:after="0" w:line="360" w:lineRule="auto"/>
        <w:ind w:firstLine="643" w:firstLineChars="200"/>
        <w:jc w:val="both"/>
        <w:textAlignment w:val="auto"/>
        <w:rPr>
          <w:rFonts w:hint="eastAsia" w:ascii="仿宋_GB2312" w:hAnsi="Times New Roman" w:eastAsia="仿宋_GB2312" w:cs="Times New Roman"/>
          <w:b/>
          <w:bCs/>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具体情况如下：</w:t>
      </w:r>
    </w:p>
    <w:p w14:paraId="29253AF4">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因公出国（境）费支出0.00万元，开支内容包括我单位2024年无因公出国（境）费支出。单位全年安排的因公出国（境）团组0个，因公出国（境）0人次。</w:t>
      </w:r>
    </w:p>
    <w:p w14:paraId="7A589EDD">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公务用车购置及运行维护费17.96万元，其中：公务用车购置费0.00万元，公务用车运行维护费17.96万元。公务用车运行维护费开支内容包括车辆维修维护费、车辆燃油费、</w:t>
      </w:r>
      <w:r>
        <w:rPr>
          <w:rFonts w:hint="eastAsia" w:ascii="仿宋_GB2312" w:hAnsi="Times New Roman" w:eastAsia="仿宋_GB2312" w:cs="Times New Roman"/>
          <w:kern w:val="2"/>
          <w:sz w:val="32"/>
          <w:szCs w:val="32"/>
          <w:highlight w:val="none"/>
          <w:lang w:val="en-US" w:eastAsia="zh-CN"/>
        </w:rPr>
        <w:t>过路费、</w:t>
      </w:r>
      <w:r>
        <w:rPr>
          <w:rFonts w:hint="eastAsia" w:ascii="仿宋_GB2312" w:hAnsi="Times New Roman" w:eastAsia="仿宋_GB2312" w:cs="Times New Roman"/>
          <w:kern w:val="2"/>
          <w:sz w:val="32"/>
          <w:szCs w:val="32"/>
          <w:highlight w:val="none"/>
          <w:lang w:eastAsia="zh-CN"/>
        </w:rPr>
        <w:t>停车费、车辆保险费和车辆年审费。公务用车购置数0辆，公务用车保有量7辆。国有资产占用情况中固定资产车辆7辆，与公务用车保有量差异原因是：</w:t>
      </w:r>
      <w:r>
        <w:rPr>
          <w:rFonts w:hint="eastAsia" w:ascii="仿宋_GB2312" w:hAnsi="Times New Roman" w:eastAsia="仿宋_GB2312" w:cs="Times New Roman"/>
          <w:kern w:val="2"/>
          <w:sz w:val="32"/>
          <w:szCs w:val="32"/>
          <w:highlight w:val="none"/>
          <w:lang w:val="zh-CN" w:eastAsia="zh-CN"/>
        </w:rPr>
        <w:t>与公务用车保有量一致，无差异。</w:t>
      </w:r>
    </w:p>
    <w:p w14:paraId="1C3EA833">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公务接待费0.00万元，开支内容包括我单位</w:t>
      </w:r>
      <w:r>
        <w:rPr>
          <w:rFonts w:hint="eastAsia" w:ascii="仿宋_GB2312" w:hAnsi="Times New Roman" w:eastAsia="仿宋_GB2312" w:cs="Times New Roman"/>
          <w:kern w:val="2"/>
          <w:sz w:val="32"/>
          <w:szCs w:val="32"/>
          <w:highlight w:val="none"/>
          <w:lang w:val="en-US" w:eastAsia="zh-CN"/>
        </w:rPr>
        <w:t>未安排</w:t>
      </w:r>
      <w:r>
        <w:rPr>
          <w:rFonts w:hint="eastAsia" w:ascii="仿宋_GB2312" w:hAnsi="Times New Roman" w:eastAsia="仿宋_GB2312" w:cs="Times New Roman"/>
          <w:kern w:val="2"/>
          <w:sz w:val="32"/>
          <w:szCs w:val="32"/>
          <w:highlight w:val="none"/>
          <w:lang w:eastAsia="zh-CN"/>
        </w:rPr>
        <w:t>公务接待费。单位全年安排的国内公务接待0批次，0人次。</w:t>
      </w:r>
    </w:p>
    <w:p w14:paraId="3C983BEF">
      <w:pPr>
        <w:keepNext w:val="0"/>
        <w:keepLines w:val="0"/>
        <w:pageBreakBefore w:val="0"/>
        <w:widowControl w:val="0"/>
        <w:kinsoku/>
        <w:wordWrap/>
        <w:overflowPunct/>
        <w:topLinePunct w:val="0"/>
        <w:bidi w:val="0"/>
        <w:adjustRightInd/>
        <w:snapToGrid/>
        <w:spacing w:after="0" w:line="360" w:lineRule="auto"/>
        <w:ind w:firstLine="643"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与全年预算相比</w:t>
      </w:r>
      <w:r>
        <w:rPr>
          <w:rFonts w:hint="eastAsia" w:ascii="仿宋_GB2312" w:hAnsi="Times New Roman" w:eastAsia="仿宋_GB2312" w:cs="Times New Roman"/>
          <w:kern w:val="2"/>
          <w:sz w:val="32"/>
          <w:szCs w:val="32"/>
          <w:highlight w:val="none"/>
          <w:lang w:eastAsia="zh-CN"/>
        </w:rPr>
        <w:t>，财政拨款“三公”经费支出全年预算数17.96万元，决算数17.96万元，预决算差异率0.00%，主要原因是：根据预算</w:t>
      </w:r>
      <w:r>
        <w:rPr>
          <w:rFonts w:hint="eastAsia" w:ascii="仿宋_GB2312" w:hAnsi="Times New Roman" w:eastAsia="仿宋_GB2312" w:cs="Times New Roman"/>
          <w:kern w:val="2"/>
          <w:sz w:val="32"/>
          <w:szCs w:val="32"/>
          <w:highlight w:val="none"/>
          <w:lang w:val="en-US" w:eastAsia="zh-CN"/>
        </w:rPr>
        <w:t>安排</w:t>
      </w:r>
      <w:r>
        <w:rPr>
          <w:rFonts w:hint="eastAsia" w:ascii="仿宋_GB2312" w:hAnsi="Times New Roman" w:eastAsia="仿宋_GB2312" w:cs="Times New Roman"/>
          <w:kern w:val="2"/>
          <w:sz w:val="32"/>
          <w:szCs w:val="32"/>
          <w:highlight w:val="none"/>
          <w:lang w:eastAsia="zh-CN"/>
        </w:rPr>
        <w:t>严格按照预算拨付</w:t>
      </w:r>
      <w:r>
        <w:rPr>
          <w:rFonts w:hint="eastAsia" w:ascii="仿宋_GB2312" w:hAnsi="Times New Roman" w:eastAsia="仿宋_GB2312" w:cs="Times New Roman"/>
          <w:kern w:val="2"/>
          <w:sz w:val="32"/>
          <w:szCs w:val="32"/>
          <w:highlight w:val="none"/>
          <w:lang w:val="en-US" w:eastAsia="zh-CN"/>
        </w:rPr>
        <w:t>资金</w:t>
      </w:r>
      <w:r>
        <w:rPr>
          <w:rFonts w:hint="eastAsia" w:ascii="仿宋_GB2312" w:hAnsi="Times New Roman" w:eastAsia="仿宋_GB2312" w:cs="Times New Roman"/>
          <w:kern w:val="2"/>
          <w:sz w:val="32"/>
          <w:szCs w:val="32"/>
          <w:highlight w:val="none"/>
          <w:lang w:eastAsia="zh-CN"/>
        </w:rPr>
        <w:t>控制支出，预决算</w:t>
      </w:r>
      <w:r>
        <w:rPr>
          <w:rFonts w:hint="eastAsia" w:ascii="仿宋_GB2312" w:hAnsi="Times New Roman" w:eastAsia="仿宋_GB2312" w:cs="Times New Roman"/>
          <w:kern w:val="2"/>
          <w:sz w:val="32"/>
          <w:szCs w:val="32"/>
          <w:highlight w:val="none"/>
          <w:lang w:val="en-US" w:eastAsia="zh-CN"/>
        </w:rPr>
        <w:t>保持</w:t>
      </w:r>
      <w:r>
        <w:rPr>
          <w:rFonts w:hint="eastAsia" w:ascii="仿宋_GB2312" w:hAnsi="Times New Roman" w:eastAsia="仿宋_GB2312" w:cs="Times New Roman"/>
          <w:kern w:val="2"/>
          <w:sz w:val="32"/>
          <w:szCs w:val="32"/>
          <w:highlight w:val="none"/>
          <w:lang w:eastAsia="zh-CN"/>
        </w:rPr>
        <w:t>一致，无差异。其中：因公出国境费全年预算数0.00万元，决算数0.00万元，预决算差异率0.00%，主要原因是：</w:t>
      </w:r>
      <w:r>
        <w:rPr>
          <w:rFonts w:hint="eastAsia" w:ascii="仿宋_GB2312" w:hAnsi="Times New Roman" w:eastAsia="仿宋_GB2312" w:cs="Times New Roman"/>
          <w:kern w:val="2"/>
          <w:sz w:val="32"/>
          <w:szCs w:val="32"/>
          <w:highlight w:val="none"/>
          <w:lang w:val="en-US" w:eastAsia="zh-CN"/>
        </w:rPr>
        <w:t>我单位2023年和2024年均无因公出国（境）事项，未安排此项经费，故不存在预决算差异；</w:t>
      </w:r>
      <w:r>
        <w:rPr>
          <w:rFonts w:hint="eastAsia" w:ascii="仿宋_GB2312" w:hAnsi="Times New Roman" w:eastAsia="仿宋_GB2312" w:cs="Times New Roman"/>
          <w:kern w:val="2"/>
          <w:sz w:val="32"/>
          <w:szCs w:val="32"/>
          <w:highlight w:val="none"/>
          <w:lang w:eastAsia="zh-CN"/>
        </w:rPr>
        <w:t>公务用车购置费全年预算数0.00万元，决算数0.00万元，预决算差异率0.00%，主要原因是：</w:t>
      </w:r>
      <w:r>
        <w:rPr>
          <w:rFonts w:hint="eastAsia" w:ascii="仿宋_GB2312" w:hAnsi="Times New Roman" w:eastAsia="仿宋_GB2312" w:cs="Times New Roman"/>
          <w:kern w:val="2"/>
          <w:sz w:val="32"/>
          <w:szCs w:val="32"/>
          <w:highlight w:val="none"/>
          <w:lang w:val="en-US" w:eastAsia="zh-CN"/>
        </w:rPr>
        <w:t>我单位2023年和2024年均无公务用车购置事项，故不存在预决算差异，</w:t>
      </w:r>
      <w:r>
        <w:rPr>
          <w:rFonts w:hint="eastAsia" w:ascii="仿宋_GB2312" w:hAnsi="Times New Roman" w:eastAsia="仿宋_GB2312" w:cs="Times New Roman"/>
          <w:kern w:val="2"/>
          <w:sz w:val="32"/>
          <w:szCs w:val="32"/>
          <w:highlight w:val="none"/>
          <w:lang w:eastAsia="zh-CN"/>
        </w:rPr>
        <w:t>公务用车运行维护费全年预算数17.96万元，决算数17.96万元，预决算差异率0.00%，主要原因是：严格按照预算拨付</w:t>
      </w:r>
      <w:r>
        <w:rPr>
          <w:rFonts w:hint="eastAsia" w:ascii="仿宋_GB2312" w:hAnsi="Times New Roman" w:eastAsia="仿宋_GB2312" w:cs="Times New Roman"/>
          <w:kern w:val="2"/>
          <w:sz w:val="32"/>
          <w:szCs w:val="32"/>
          <w:highlight w:val="none"/>
          <w:lang w:val="en-US" w:eastAsia="zh-CN"/>
        </w:rPr>
        <w:t>资金</w:t>
      </w:r>
      <w:r>
        <w:rPr>
          <w:rFonts w:hint="eastAsia" w:ascii="仿宋_GB2312" w:hAnsi="Times New Roman" w:eastAsia="仿宋_GB2312" w:cs="Times New Roman"/>
          <w:kern w:val="2"/>
          <w:sz w:val="32"/>
          <w:szCs w:val="32"/>
          <w:highlight w:val="none"/>
          <w:lang w:eastAsia="zh-CN"/>
        </w:rPr>
        <w:t>控制</w:t>
      </w:r>
      <w:r>
        <w:rPr>
          <w:rFonts w:hint="eastAsia" w:ascii="仿宋_GB2312" w:hAnsi="Times New Roman" w:eastAsia="仿宋_GB2312" w:cs="Times New Roman"/>
          <w:kern w:val="2"/>
          <w:sz w:val="32"/>
          <w:szCs w:val="32"/>
          <w:highlight w:val="none"/>
          <w:lang w:val="en-US" w:eastAsia="zh-CN"/>
        </w:rPr>
        <w:t>支出</w:t>
      </w:r>
      <w:r>
        <w:rPr>
          <w:rFonts w:hint="eastAsia" w:ascii="仿宋_GB2312" w:hAnsi="Times New Roman" w:eastAsia="仿宋_GB2312" w:cs="Times New Roman"/>
          <w:kern w:val="2"/>
          <w:sz w:val="32"/>
          <w:szCs w:val="32"/>
          <w:highlight w:val="none"/>
          <w:lang w:eastAsia="zh-CN"/>
        </w:rPr>
        <w:t>，</w:t>
      </w:r>
      <w:r>
        <w:rPr>
          <w:rFonts w:hint="eastAsia" w:ascii="仿宋_GB2312" w:hAnsi="Times New Roman" w:eastAsia="仿宋_GB2312" w:cs="Times New Roman"/>
          <w:kern w:val="2"/>
          <w:sz w:val="32"/>
          <w:szCs w:val="32"/>
          <w:highlight w:val="none"/>
          <w:lang w:val="en-US" w:eastAsia="zh-CN"/>
        </w:rPr>
        <w:t>保持</w:t>
      </w:r>
      <w:r>
        <w:rPr>
          <w:rFonts w:hint="eastAsia" w:ascii="仿宋_GB2312" w:hAnsi="Times New Roman" w:eastAsia="仿宋_GB2312" w:cs="Times New Roman"/>
          <w:kern w:val="2"/>
          <w:sz w:val="32"/>
          <w:szCs w:val="32"/>
          <w:highlight w:val="none"/>
          <w:lang w:eastAsia="zh-CN"/>
        </w:rPr>
        <w:t>预决算一致，无差异；公务接待费全年预算数0.00万元，决算数0.00万元，预决算差异率0.00%，主要原因是：</w:t>
      </w:r>
      <w:r>
        <w:rPr>
          <w:rFonts w:hint="eastAsia" w:ascii="仿宋_GB2312" w:hAnsi="Times New Roman" w:eastAsia="仿宋_GB2312" w:cs="Times New Roman"/>
          <w:kern w:val="2"/>
          <w:sz w:val="32"/>
          <w:szCs w:val="32"/>
          <w:highlight w:val="none"/>
          <w:lang w:val="en-US" w:eastAsia="zh-CN"/>
        </w:rPr>
        <w:t>我单位2023年和2024年无公务接待费事项，故不存在预决算差异。</w:t>
      </w:r>
    </w:p>
    <w:p w14:paraId="087F22A6">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30277C89">
      <w:pPr>
        <w:widowControl/>
        <w:spacing w:before="0" w:beforeLines="0" w:beforeAutospacing="0" w:after="0" w:afterLines="0" w:afterAutospacing="0" w:line="360" w:lineRule="auto"/>
        <w:ind w:firstLine="640" w:firstLineChars="200"/>
        <w:jc w:val="left"/>
        <w:outlineLvl w:val="2"/>
        <w:rPr>
          <w:rFonts w:hint="eastAsia" w:ascii="黑体" w:hAnsi="黑体" w:eastAsia="黑体" w:cs="黑体"/>
          <w:b w:val="0"/>
          <w:bCs/>
          <w:sz w:val="32"/>
          <w:szCs w:val="32"/>
        </w:rPr>
      </w:pPr>
      <w:r>
        <w:rPr>
          <w:rFonts w:hint="eastAsia" w:ascii="黑体" w:hAnsi="黑体" w:eastAsia="黑体" w:cs="黑体"/>
          <w:b w:val="0"/>
          <w:bCs/>
          <w:sz w:val="32"/>
          <w:szCs w:val="32"/>
        </w:rPr>
        <w:t>（一）机关运行经费及公用经费支出情况</w:t>
      </w:r>
    </w:p>
    <w:p w14:paraId="2D22F482">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color w:val="auto"/>
          <w:sz w:val="32"/>
          <w:szCs w:val="32"/>
          <w:highlight w:val="none"/>
          <w:lang w:val="zh-CN" w:eastAsia="zh-CN"/>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zh-CN" w:eastAsia="zh-CN"/>
        </w:rPr>
        <w:t>年度</w:t>
      </w:r>
      <w:r>
        <w:rPr>
          <w:rFonts w:hint="eastAsia" w:ascii="仿宋_GB2312" w:hAnsi="仿宋_GB2312" w:eastAsia="仿宋_GB2312" w:cs="仿宋_GB2312"/>
          <w:color w:val="auto"/>
          <w:sz w:val="32"/>
          <w:szCs w:val="32"/>
          <w:highlight w:val="none"/>
          <w:lang w:val="en-US" w:eastAsia="zh-CN"/>
        </w:rPr>
        <w:t>新疆维吾尔自治区克孜尔石窟研究所</w:t>
      </w:r>
      <w:r>
        <w:rPr>
          <w:rFonts w:hint="eastAsia" w:ascii="仿宋_GB2312" w:hAnsi="仿宋_GB2312" w:eastAsia="仿宋_GB2312" w:cs="仿宋_GB2312"/>
          <w:color w:val="auto"/>
          <w:sz w:val="32"/>
          <w:szCs w:val="32"/>
          <w:highlight w:val="none"/>
          <w:lang w:val="zh-CN" w:eastAsia="zh-CN"/>
        </w:rPr>
        <w:t>（事业单位）</w:t>
      </w:r>
      <w:r>
        <w:rPr>
          <w:rFonts w:hint="eastAsia" w:ascii="仿宋_GB2312" w:hAnsi="仿宋_GB2312" w:eastAsia="仿宋_GB2312" w:cs="仿宋_GB2312"/>
          <w:color w:val="auto"/>
          <w:sz w:val="32"/>
          <w:szCs w:val="32"/>
          <w:highlight w:val="none"/>
          <w:lang w:val="en-US" w:eastAsia="zh-CN"/>
        </w:rPr>
        <w:t>公用</w:t>
      </w:r>
      <w:r>
        <w:rPr>
          <w:rFonts w:hint="eastAsia" w:ascii="仿宋_GB2312" w:hAnsi="仿宋_GB2312" w:eastAsia="仿宋_GB2312" w:cs="仿宋_GB2312"/>
          <w:color w:val="auto"/>
          <w:sz w:val="32"/>
          <w:szCs w:val="32"/>
          <w:highlight w:val="none"/>
          <w:lang w:val="zh-CN" w:eastAsia="zh-CN"/>
        </w:rPr>
        <w:t>经费支出</w:t>
      </w:r>
      <w:r>
        <w:rPr>
          <w:rFonts w:hint="eastAsia" w:ascii="仿宋_GB2312" w:hAnsi="仿宋_GB2312" w:eastAsia="仿宋_GB2312" w:cs="仿宋_GB2312"/>
          <w:kern w:val="2"/>
          <w:sz w:val="32"/>
          <w:szCs w:val="32"/>
          <w:highlight w:val="none"/>
          <w:lang w:val="en-US" w:eastAsia="zh-CN"/>
        </w:rPr>
        <w:t>支出88.33万元，比上年增加19.74万元，增长28.78%，主要原因是：</w:t>
      </w:r>
      <w:r>
        <w:rPr>
          <w:rFonts w:hint="eastAsia" w:ascii="仿宋_GB2312" w:hAnsi="仿宋_GB2312" w:eastAsia="仿宋_GB2312" w:cs="仿宋_GB2312"/>
          <w:color w:val="auto"/>
          <w:sz w:val="32"/>
          <w:szCs w:val="32"/>
          <w:highlight w:val="none"/>
          <w:lang w:val="en-US" w:eastAsia="zh-CN"/>
        </w:rPr>
        <w:t>取暖费及电费支出比上年增加</w:t>
      </w:r>
      <w:r>
        <w:rPr>
          <w:rFonts w:hint="eastAsia" w:ascii="仿宋_GB2312" w:hAnsi="仿宋_GB2312" w:eastAsia="仿宋_GB2312" w:cs="仿宋_GB2312"/>
          <w:kern w:val="2"/>
          <w:sz w:val="32"/>
          <w:szCs w:val="32"/>
          <w:highlight w:val="none"/>
          <w:lang w:val="en-US" w:eastAsia="zh-CN"/>
        </w:rPr>
        <w:t>，导致公用经费增加</w:t>
      </w:r>
      <w:r>
        <w:rPr>
          <w:rFonts w:hint="eastAsia" w:ascii="仿宋_GB2312" w:hAnsi="仿宋_GB2312" w:eastAsia="仿宋_GB2312" w:cs="仿宋_GB2312"/>
          <w:kern w:val="2"/>
          <w:sz w:val="32"/>
          <w:szCs w:val="32"/>
          <w:highlight w:val="none"/>
          <w:lang w:eastAsia="zh-CN"/>
        </w:rPr>
        <w:t>。</w:t>
      </w:r>
      <w:bookmarkStart w:id="0" w:name="_GoBack"/>
      <w:bookmarkEnd w:id="0"/>
    </w:p>
    <w:p w14:paraId="0067757D">
      <w:pPr>
        <w:widowControl/>
        <w:spacing w:before="0" w:beforeLines="0" w:beforeAutospacing="0" w:after="0" w:afterLines="0" w:afterAutospacing="0" w:line="360" w:lineRule="auto"/>
        <w:ind w:firstLine="640" w:firstLineChars="200"/>
        <w:jc w:val="left"/>
        <w:outlineLvl w:val="2"/>
        <w:rPr>
          <w:rFonts w:hint="eastAsia" w:ascii="黑体" w:hAnsi="黑体" w:eastAsia="黑体" w:cs="黑体"/>
          <w:b w:val="0"/>
          <w:bCs/>
          <w:sz w:val="32"/>
          <w:szCs w:val="32"/>
        </w:rPr>
      </w:pPr>
      <w:r>
        <w:rPr>
          <w:rFonts w:hint="eastAsia" w:ascii="黑体" w:hAnsi="黑体" w:eastAsia="黑体" w:cs="黑体"/>
          <w:b w:val="0"/>
          <w:bCs/>
          <w:sz w:val="32"/>
          <w:szCs w:val="32"/>
        </w:rPr>
        <w:t>（二）政府采购情况</w:t>
      </w:r>
    </w:p>
    <w:p w14:paraId="66F335E8">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val="en-US" w:eastAsia="zh-CN"/>
        </w:rPr>
      </w:pPr>
      <w:r>
        <w:rPr>
          <w:rFonts w:hint="eastAsia" w:ascii="仿宋_GB2312" w:hAnsi="Times New Roman" w:eastAsia="仿宋_GB2312" w:cs="Times New Roman"/>
          <w:kern w:val="2"/>
          <w:sz w:val="32"/>
          <w:szCs w:val="32"/>
          <w:highlight w:val="none"/>
          <w:lang w:val="en-US" w:eastAsia="zh-CN"/>
        </w:rPr>
        <w:t>2024年度政府采购支出总额2,999.17万元，其中：政府采购货物支出19.19万元、政府采购工程支出848.72万元、政府采购服务支出2,131.26万元。</w:t>
      </w:r>
    </w:p>
    <w:p w14:paraId="61843722">
      <w:pPr>
        <w:keepNext w:val="0"/>
        <w:keepLines w:val="0"/>
        <w:pageBreakBefore w:val="0"/>
        <w:widowControl w:val="0"/>
        <w:kinsoku/>
        <w:wordWrap/>
        <w:overflowPunct/>
        <w:topLinePunct w:val="0"/>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val="en-US" w:eastAsia="zh-CN"/>
        </w:rPr>
      </w:pPr>
      <w:r>
        <w:rPr>
          <w:rFonts w:hint="eastAsia" w:ascii="仿宋_GB2312" w:hAnsi="Times New Roman" w:eastAsia="仿宋_GB2312" w:cs="Times New Roman"/>
          <w:kern w:val="2"/>
          <w:sz w:val="32"/>
          <w:szCs w:val="32"/>
          <w:highlight w:val="none"/>
          <w:lang w:val="en-US" w:eastAsia="zh-CN"/>
        </w:rPr>
        <w:t>授予中小企业合同金额2,999.17万元，占政府采购支出总额的100.00%，其中：授予小微企业合同金额2,999.17万元，占政府采购支出总额的100.00%。</w:t>
      </w:r>
    </w:p>
    <w:p w14:paraId="3C551A79">
      <w:pPr>
        <w:widowControl/>
        <w:spacing w:before="0" w:beforeLines="0" w:beforeAutospacing="0" w:after="0" w:afterLines="0" w:afterAutospacing="0" w:line="360" w:lineRule="auto"/>
        <w:ind w:firstLine="640" w:firstLineChars="200"/>
        <w:jc w:val="left"/>
        <w:outlineLvl w:val="2"/>
        <w:rPr>
          <w:rFonts w:hint="eastAsia" w:ascii="黑体" w:hAnsi="黑体" w:eastAsia="黑体" w:cs="黑体"/>
          <w:b w:val="0"/>
          <w:bCs/>
          <w:sz w:val="32"/>
          <w:szCs w:val="32"/>
        </w:rPr>
      </w:pPr>
      <w:r>
        <w:rPr>
          <w:rFonts w:hint="eastAsia" w:ascii="黑体" w:hAnsi="黑体" w:eastAsia="黑体" w:cs="黑体"/>
          <w:b w:val="0"/>
          <w:bCs/>
          <w:sz w:val="32"/>
          <w:szCs w:val="32"/>
        </w:rPr>
        <w:t>（三）国有资产占用情况说明</w:t>
      </w:r>
    </w:p>
    <w:p w14:paraId="3561FB9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9,447.98平方米，价值1,769.35万元。车辆7辆，价值260.02万元，其中：副部（省）级及以上领导用车0辆、主要负责人用车0辆、机要通信用车0辆、应急保障用车0辆、执法执勤用车0辆、特种专业技术用车0辆、离退休干部服务用车0辆、其他用车7辆，其他用车主要是</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一般公</w:t>
      </w:r>
      <w:r>
        <w:rPr>
          <w:rFonts w:hint="eastAsia" w:eastAsia="仿宋_GB2312" w:cs="Times New Roman"/>
          <w:color w:val="auto"/>
          <w:sz w:val="32"/>
          <w:szCs w:val="32"/>
          <w:highlight w:val="none"/>
          <w:lang w:val="en-US" w:eastAsia="zh-CN"/>
        </w:rPr>
        <w:t>务活动用车、野外石窟</w:t>
      </w:r>
      <w:r>
        <w:rPr>
          <w:rFonts w:hint="eastAsia" w:ascii="仿宋_GB2312" w:eastAsia="仿宋_GB2312"/>
          <w:sz w:val="32"/>
          <w:szCs w:val="32"/>
          <w:highlight w:val="none"/>
        </w:rPr>
        <w:t>巡查车辆</w:t>
      </w:r>
      <w:r>
        <w:rPr>
          <w:rFonts w:hint="eastAsia" w:ascii="仿宋_GB2312" w:eastAsia="仿宋_GB2312"/>
          <w:sz w:val="32"/>
          <w:szCs w:val="32"/>
          <w:highlight w:val="none"/>
          <w:lang w:val="en-US" w:eastAsia="zh-CN"/>
        </w:rPr>
        <w:t>及</w:t>
      </w:r>
      <w:r>
        <w:rPr>
          <w:rFonts w:hint="eastAsia" w:ascii="仿宋_GB2312" w:eastAsia="仿宋_GB2312"/>
          <w:sz w:val="32"/>
          <w:szCs w:val="32"/>
          <w:highlight w:val="none"/>
        </w:rPr>
        <w:t>保障职工生活</w:t>
      </w:r>
      <w:r>
        <w:rPr>
          <w:rFonts w:hint="eastAsia" w:ascii="仿宋_GB2312" w:eastAsia="仿宋_GB2312"/>
          <w:sz w:val="32"/>
          <w:szCs w:val="32"/>
          <w:highlight w:val="none"/>
          <w:lang w:val="en-US" w:eastAsia="zh-CN"/>
        </w:rPr>
        <w:t>通勤</w:t>
      </w:r>
      <w:r>
        <w:rPr>
          <w:rFonts w:hint="eastAsia" w:ascii="仿宋_GB2312" w:eastAsia="仿宋_GB2312"/>
          <w:sz w:val="32"/>
          <w:szCs w:val="32"/>
          <w:highlight w:val="none"/>
        </w:rPr>
        <w:t>用车</w:t>
      </w:r>
      <w:r>
        <w:rPr>
          <w:rFonts w:hint="eastAsia" w:ascii="仿宋_GB2312" w:eastAsia="仿宋_GB2312"/>
          <w:sz w:val="32"/>
          <w:szCs w:val="32"/>
          <w:highlight w:val="none"/>
          <w:lang w:eastAsia="zh-CN"/>
        </w:rPr>
        <w:t>；</w:t>
      </w:r>
      <w:r>
        <w:rPr>
          <w:rFonts w:ascii="仿宋_GB2312" w:eastAsia="仿宋_GB2312"/>
          <w:b w:val="0"/>
          <w:sz w:val="32"/>
          <w:szCs w:val="32"/>
        </w:rPr>
        <w:t>单价100万元（含）以上设备（不含车辆）5台（套）。</w:t>
      </w:r>
    </w:p>
    <w:p w14:paraId="26668741">
      <w:pPr>
        <w:widowControl/>
        <w:spacing w:before="0" w:beforeLines="0" w:beforeAutospacing="0" w:after="0" w:afterLines="0" w:afterAutospacing="0" w:line="360" w:lineRule="auto"/>
        <w:ind w:firstLine="640" w:firstLineChars="200"/>
        <w:jc w:val="left"/>
        <w:outlineLvl w:val="1"/>
        <w:rPr>
          <w:rFonts w:ascii="黑体" w:eastAsia="黑体"/>
          <w:b w:val="0"/>
          <w:sz w:val="32"/>
          <w:szCs w:val="32"/>
        </w:rPr>
      </w:pPr>
    </w:p>
    <w:p w14:paraId="398FC86A">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417DB5A7">
      <w:pPr>
        <w:keepNext w:val="0"/>
        <w:keepLines w:val="0"/>
        <w:pageBreakBefore w:val="0"/>
        <w:widowControl w:val="0"/>
        <w:kinsoku/>
        <w:wordWrap/>
        <w:overflowPunct/>
        <w:topLinePunct w:val="0"/>
        <w:autoSpaceDE w:val="0"/>
        <w:autoSpaceDN w:val="0"/>
        <w:bidi w:val="0"/>
        <w:adjustRightInd/>
        <w:snapToGrid/>
        <w:spacing w:after="0" w:line="360" w:lineRule="auto"/>
        <w:ind w:firstLine="640" w:firstLineChars="200"/>
        <w:jc w:val="both"/>
        <w:textAlignment w:val="auto"/>
      </w:pPr>
      <w:r>
        <w:rPr>
          <w:rFonts w:hint="eastAsia" w:ascii="仿宋_GB2312" w:eastAsia="仿宋_GB2312"/>
          <w:sz w:val="32"/>
          <w:szCs w:val="32"/>
          <w:highlight w:val="none"/>
          <w:lang w:eastAsia="zh-CN"/>
        </w:rPr>
        <w:t>根据预算绩效管理要求，</w:t>
      </w:r>
      <w:r>
        <w:rPr>
          <w:rFonts w:hint="eastAsia" w:ascii="仿宋_GB2312" w:eastAsia="仿宋_GB2312"/>
          <w:sz w:val="32"/>
          <w:szCs w:val="32"/>
          <w:highlight w:val="none"/>
          <w:lang w:val="en-US" w:eastAsia="zh-CN"/>
        </w:rPr>
        <w:t>本单位2024年度</w:t>
      </w:r>
      <w:r>
        <w:rPr>
          <w:rFonts w:hint="eastAsia" w:ascii="仿宋_GB2312" w:hAnsi="Times New Roman" w:eastAsia="仿宋_GB2312" w:cs="Times New Roman"/>
          <w:kern w:val="2"/>
          <w:sz w:val="32"/>
          <w:szCs w:val="32"/>
          <w:highlight w:val="none"/>
          <w:lang w:eastAsia="zh-CN"/>
        </w:rPr>
        <w:t>预算绩效评价项目</w:t>
      </w:r>
      <w:r>
        <w:rPr>
          <w:rFonts w:hint="eastAsia" w:ascii="仿宋_GB2312" w:hAnsi="Times New Roman" w:eastAsia="仿宋_GB2312" w:cs="Times New Roman"/>
          <w:kern w:val="2"/>
          <w:sz w:val="32"/>
          <w:szCs w:val="32"/>
          <w:highlight w:val="none"/>
          <w:lang w:val="en-US" w:eastAsia="zh-CN"/>
        </w:rPr>
        <w:t>5</w:t>
      </w:r>
      <w:r>
        <w:rPr>
          <w:rFonts w:hint="eastAsia" w:ascii="仿宋_GB2312" w:hAnsi="Times New Roman" w:eastAsia="仿宋_GB2312" w:cs="Times New Roman"/>
          <w:kern w:val="2"/>
          <w:sz w:val="32"/>
          <w:szCs w:val="32"/>
          <w:highlight w:val="none"/>
          <w:lang w:eastAsia="zh-CN"/>
        </w:rPr>
        <w:t>个，全年预算数</w:t>
      </w:r>
      <w:r>
        <w:rPr>
          <w:rFonts w:hint="eastAsia" w:ascii="仿宋_GB2312" w:hAnsi="Times New Roman" w:eastAsia="仿宋_GB2312" w:cs="Times New Roman"/>
          <w:kern w:val="2"/>
          <w:sz w:val="32"/>
          <w:szCs w:val="32"/>
          <w:highlight w:val="none"/>
          <w:lang w:val="en-US" w:eastAsia="zh-CN"/>
        </w:rPr>
        <w:t>1,305.09</w:t>
      </w:r>
      <w:r>
        <w:rPr>
          <w:rFonts w:hint="eastAsia" w:ascii="仿宋_GB2312" w:hAnsi="Times New Roman" w:eastAsia="仿宋_GB2312" w:cs="Times New Roman"/>
          <w:kern w:val="2"/>
          <w:sz w:val="32"/>
          <w:szCs w:val="32"/>
          <w:highlight w:val="none"/>
          <w:lang w:eastAsia="zh-CN"/>
        </w:rPr>
        <w:t>万元，全年执行数</w:t>
      </w:r>
      <w:r>
        <w:rPr>
          <w:rFonts w:hint="eastAsia" w:ascii="仿宋_GB2312" w:hAnsi="Times New Roman" w:eastAsia="仿宋_GB2312" w:cs="Times New Roman"/>
          <w:kern w:val="2"/>
          <w:sz w:val="32"/>
          <w:szCs w:val="32"/>
          <w:highlight w:val="none"/>
          <w:lang w:val="en-US" w:eastAsia="zh-CN"/>
        </w:rPr>
        <w:t>1,298.69</w:t>
      </w:r>
      <w:r>
        <w:rPr>
          <w:rFonts w:hint="eastAsia" w:ascii="仿宋_GB2312" w:hAnsi="Times New Roman" w:eastAsia="仿宋_GB2312" w:cs="Times New Roman"/>
          <w:kern w:val="2"/>
          <w:sz w:val="32"/>
          <w:szCs w:val="32"/>
          <w:highlight w:val="none"/>
          <w:lang w:eastAsia="zh-CN"/>
        </w:rPr>
        <w:t>万元。预算绩效管理取得的成效：一是按照绩效目标管理工作的要求，结合相关科室业务工作，认真填报项目资金绩效目标，严格按照“谁申请资金，谁编制目标”的原则，科学合理编制绩效目标；二是坚持以提升财政资金绩效为主线、以绩效目标实现为导向、财政支出绩效评价为手段，牢固树立“花钱必问效、无效必问责”的绩效管理理念，全力推进预算绩效管理工作；三是通过预算资金的运用，发挥了</w:t>
      </w:r>
      <w:r>
        <w:rPr>
          <w:rFonts w:hint="eastAsia" w:ascii="仿宋_GB2312" w:hAnsi="Times New Roman" w:eastAsia="仿宋_GB2312" w:cs="Times New Roman"/>
          <w:kern w:val="2"/>
          <w:sz w:val="32"/>
          <w:szCs w:val="32"/>
          <w:highlight w:val="none"/>
          <w:lang w:val="en-US" w:eastAsia="zh-CN"/>
        </w:rPr>
        <w:t>龟兹石窟文物保护的职能</w:t>
      </w:r>
      <w:r>
        <w:rPr>
          <w:rFonts w:hint="eastAsia" w:ascii="仿宋_GB2312" w:hAnsi="Times New Roman" w:eastAsia="仿宋_GB2312" w:cs="Times New Roman"/>
          <w:kern w:val="2"/>
          <w:sz w:val="32"/>
          <w:szCs w:val="32"/>
          <w:highlight w:val="none"/>
          <w:lang w:eastAsia="zh-CN"/>
        </w:rPr>
        <w:t>和自身优势，推动</w:t>
      </w:r>
      <w:r>
        <w:rPr>
          <w:rFonts w:hint="eastAsia" w:ascii="仿宋_GB2312" w:hAnsi="Times New Roman" w:eastAsia="仿宋_GB2312" w:cs="Times New Roman"/>
          <w:kern w:val="2"/>
          <w:sz w:val="32"/>
          <w:szCs w:val="32"/>
          <w:highlight w:val="none"/>
          <w:lang w:val="en-US" w:eastAsia="zh-CN"/>
        </w:rPr>
        <w:t>龟兹历史文化的传播</w:t>
      </w:r>
      <w:r>
        <w:rPr>
          <w:rFonts w:hint="eastAsia" w:ascii="仿宋_GB2312" w:hAnsi="Times New Roman" w:eastAsia="仿宋_GB2312" w:cs="Times New Roman"/>
          <w:kern w:val="2"/>
          <w:sz w:val="32"/>
          <w:szCs w:val="32"/>
          <w:highlight w:val="none"/>
          <w:lang w:eastAsia="zh-CN"/>
        </w:rPr>
        <w:t>和创新性发展，不断推进中华民族共同体建设。发现的问题及原因：一是重视程度有待进一步提高，对预算绩效管理工作的重视程度</w:t>
      </w:r>
      <w:r>
        <w:rPr>
          <w:rFonts w:hint="eastAsia" w:ascii="仿宋_GB2312" w:hAnsi="Times New Roman" w:eastAsia="仿宋_GB2312" w:cs="Times New Roman"/>
          <w:kern w:val="2"/>
          <w:sz w:val="32"/>
          <w:szCs w:val="32"/>
          <w:highlight w:val="none"/>
          <w:lang w:val="en-US" w:eastAsia="zh-CN"/>
        </w:rPr>
        <w:t>有待提升</w:t>
      </w:r>
      <w:r>
        <w:rPr>
          <w:rFonts w:hint="eastAsia" w:ascii="仿宋_GB2312" w:hAnsi="Times New Roman" w:eastAsia="仿宋_GB2312" w:cs="Times New Roman"/>
          <w:kern w:val="2"/>
          <w:sz w:val="32"/>
          <w:szCs w:val="32"/>
          <w:highlight w:val="none"/>
          <w:lang w:eastAsia="zh-CN"/>
        </w:rPr>
        <w:t>，多为财务人员接受相关培训，而业务部门人员参与少，认识不到位，需进一步加强学习提高认识；二是国家文物保护项目实施周期长，</w:t>
      </w:r>
      <w:r>
        <w:rPr>
          <w:rFonts w:hint="eastAsia" w:ascii="仿宋_GB2312" w:hAnsi="Times New Roman" w:eastAsia="仿宋_GB2312" w:cs="Times New Roman"/>
          <w:kern w:val="2"/>
          <w:sz w:val="32"/>
          <w:szCs w:val="32"/>
          <w:highlight w:val="none"/>
          <w:lang w:val="en-US" w:eastAsia="zh-CN"/>
        </w:rPr>
        <w:t>预算资金支付和</w:t>
      </w:r>
      <w:r>
        <w:rPr>
          <w:rFonts w:hint="eastAsia" w:ascii="仿宋_GB2312" w:hAnsi="Times New Roman" w:eastAsia="仿宋_GB2312" w:cs="Times New Roman"/>
          <w:kern w:val="2"/>
          <w:sz w:val="32"/>
          <w:szCs w:val="32"/>
          <w:highlight w:val="none"/>
          <w:lang w:eastAsia="zh-CN"/>
        </w:rPr>
        <w:t>绩效管理</w:t>
      </w:r>
      <w:r>
        <w:rPr>
          <w:rFonts w:hint="eastAsia" w:ascii="仿宋_GB2312" w:hAnsi="Times New Roman" w:eastAsia="仿宋_GB2312" w:cs="Times New Roman"/>
          <w:kern w:val="2"/>
          <w:sz w:val="32"/>
          <w:szCs w:val="32"/>
          <w:highlight w:val="none"/>
          <w:lang w:val="en-US" w:eastAsia="zh-CN"/>
        </w:rPr>
        <w:t>工作需加强</w:t>
      </w:r>
      <w:r>
        <w:rPr>
          <w:rFonts w:hint="eastAsia" w:ascii="仿宋_GB2312" w:hAnsi="Times New Roman" w:eastAsia="仿宋_GB2312" w:cs="Times New Roman"/>
          <w:kern w:val="2"/>
          <w:sz w:val="32"/>
          <w:szCs w:val="32"/>
          <w:highlight w:val="none"/>
          <w:lang w:eastAsia="zh-CN"/>
        </w:rPr>
        <w:t>；三是绩效监控结果存在不合理，主要是运转类项目无法按照绩效监控节点按月进度执行，按年底才能实现绩效产出，完成绩效目标。下一步改进措施：一是提升思想、提高认识，营造讲绩效、重绩效的全面实施绩效管理环境氛围，完善预算绩效管理制度，不断提高预算绩效管理水平。二是继续细化绩效管理实施细则，规范绩效目标管理、过程监控、绩效评价、结果运用和绩效考核等工作程序，实现预算绩效管理全覆盖。三是提升内部绩效监控力度，深入分析研究、统筹协调，加快推进文物保护专项资金预算执行进度，缩短项目周期，优化文物保护项目验收程序。四是进一步加强预算执行监管和执行结果评价，加强支出管理，提高全面实施预算绩效工作的管理水平。</w:t>
      </w:r>
      <w:r>
        <w:rPr>
          <w:rFonts w:hint="eastAsia" w:ascii="仿宋_GB2312" w:eastAsia="仿宋_GB2312"/>
          <w:sz w:val="32"/>
          <w:szCs w:val="32"/>
          <w:highlight w:val="none"/>
          <w:lang w:val="en-US" w:eastAsia="zh-CN"/>
        </w:rPr>
        <w:t>具体附</w:t>
      </w:r>
      <w:r>
        <w:rPr>
          <w:rFonts w:hint="eastAsia" w:ascii="仿宋_GB2312" w:hAnsi="仿宋_GB2312" w:eastAsia="仿宋_GB2312" w:cs="仿宋_GB2312"/>
          <w:b w:val="0"/>
          <w:bCs w:val="0"/>
          <w:color w:val="000000"/>
          <w:kern w:val="0"/>
          <w:sz w:val="32"/>
          <w:szCs w:val="32"/>
          <w:lang w:val="en-US" w:eastAsia="zh-CN" w:bidi="ar"/>
        </w:rPr>
        <w:t>项目支出绩效自评表。</w:t>
      </w:r>
    </w:p>
    <w:p w14:paraId="467D89D1">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052F280D">
      <w:pPr>
        <w:widowControl/>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50A7D7E3">
      <w:pPr>
        <w:widowControl/>
        <w:spacing w:before="0" w:beforeLines="0" w:beforeAutospacing="0" w:after="0" w:afterLines="0" w:afterAutospacing="0" w:line="360" w:lineRule="auto"/>
        <w:ind w:firstLine="640" w:firstLineChars="200"/>
        <w:jc w:val="left"/>
        <w:rPr>
          <w:rFonts w:ascii="仿宋_GB2312" w:eastAsia="仿宋_GB2312"/>
          <w:sz w:val="32"/>
          <w:szCs w:val="32"/>
        </w:rPr>
      </w:pPr>
    </w:p>
    <w:p w14:paraId="7908038A">
      <w:pPr>
        <w:widowControl/>
        <w:spacing w:line="360" w:lineRule="auto"/>
      </w:pPr>
      <w:r>
        <w:rPr>
          <w:b w:val="0"/>
          <w:sz w:val="0"/>
          <w:szCs w:val="0"/>
        </w:rPr>
        <w:br w:type="page"/>
      </w:r>
    </w:p>
    <w:p w14:paraId="6B0F95F7">
      <w:pPr>
        <w:widowControl/>
        <w:spacing w:before="0" w:beforeLines="0" w:beforeAutospacing="0" w:after="0" w:afterLines="0" w:afterAutospacing="0" w:line="360" w:lineRule="auto"/>
        <w:jc w:val="center"/>
        <w:outlineLvl w:val="0"/>
        <w:rPr>
          <w:rFonts w:ascii="黑体" w:eastAsia="黑体"/>
          <w:b w:val="0"/>
          <w:sz w:val="32"/>
          <w:szCs w:val="32"/>
        </w:rPr>
      </w:pPr>
      <w:r>
        <w:rPr>
          <w:rFonts w:ascii="黑体" w:eastAsia="黑体"/>
          <w:b w:val="0"/>
          <w:sz w:val="32"/>
          <w:szCs w:val="32"/>
        </w:rPr>
        <w:t>第三部分</w:t>
      </w:r>
      <w:r>
        <w:rPr>
          <w:rFonts w:hint="eastAsia" w:ascii="黑体" w:eastAsia="黑体"/>
          <w:b w:val="0"/>
          <w:sz w:val="32"/>
          <w:szCs w:val="32"/>
          <w:lang w:val="en-US" w:eastAsia="zh-CN"/>
        </w:rPr>
        <w:t xml:space="preserve"> </w:t>
      </w:r>
      <w:r>
        <w:rPr>
          <w:rFonts w:ascii="黑体" w:eastAsia="黑体"/>
          <w:b w:val="0"/>
          <w:sz w:val="32"/>
          <w:szCs w:val="32"/>
        </w:rPr>
        <w:t>专业名词解释</w:t>
      </w:r>
    </w:p>
    <w:p w14:paraId="75DAC5BB">
      <w:pPr>
        <w:widowControl/>
        <w:spacing w:before="0" w:beforeLines="0" w:beforeAutospacing="0" w:after="0" w:afterLines="0" w:afterAutospacing="0" w:line="36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4FE94931">
      <w:pPr>
        <w:widowControl/>
        <w:spacing w:before="0" w:beforeLines="0" w:beforeAutospacing="0" w:after="0" w:afterLines="0" w:afterAutospacing="0" w:line="36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50DB28D3">
      <w:pPr>
        <w:widowControl/>
        <w:spacing w:before="0" w:beforeLines="0" w:beforeAutospacing="0" w:after="0" w:afterLines="0" w:afterAutospacing="0" w:line="36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63EDB8BE">
      <w:pPr>
        <w:widowControl/>
        <w:spacing w:before="0" w:beforeLines="0" w:beforeAutospacing="0" w:after="0" w:afterLines="0" w:afterAutospacing="0" w:line="36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02B3607F">
      <w:pPr>
        <w:widowControl/>
        <w:spacing w:before="0" w:beforeLines="0" w:beforeAutospacing="0" w:after="0" w:afterLines="0" w:afterAutospacing="0" w:line="36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69911875">
      <w:pPr>
        <w:widowControl/>
        <w:spacing w:before="0" w:beforeLines="0" w:beforeAutospacing="0" w:after="0" w:afterLines="0" w:afterAutospacing="0" w:line="36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w:t>
      </w:r>
      <w:r>
        <w:rPr>
          <w:rFonts w:hint="eastAsia" w:ascii="仿宋_GB2312" w:eastAsia="仿宋_GB2312"/>
          <w:b w:val="0"/>
          <w:sz w:val="32"/>
          <w:szCs w:val="32"/>
          <w:lang w:eastAsia="zh-CN"/>
        </w:rPr>
        <w:t>”“</w:t>
      </w:r>
      <w:r>
        <w:rPr>
          <w:rFonts w:ascii="仿宋_GB2312" w:eastAsia="仿宋_GB2312"/>
          <w:b w:val="0"/>
          <w:sz w:val="32"/>
          <w:szCs w:val="32"/>
        </w:rPr>
        <w:t>事业收入</w:t>
      </w:r>
      <w:r>
        <w:rPr>
          <w:rFonts w:hint="eastAsia" w:ascii="仿宋_GB2312" w:eastAsia="仿宋_GB2312"/>
          <w:b w:val="0"/>
          <w:sz w:val="32"/>
          <w:szCs w:val="32"/>
          <w:lang w:eastAsia="zh-CN"/>
        </w:rPr>
        <w:t>”“</w:t>
      </w:r>
      <w:r>
        <w:rPr>
          <w:rFonts w:ascii="仿宋_GB2312" w:eastAsia="仿宋_GB2312"/>
          <w:b w:val="0"/>
          <w:sz w:val="32"/>
          <w:szCs w:val="32"/>
        </w:rPr>
        <w:t>经营收入</w:t>
      </w:r>
      <w:r>
        <w:rPr>
          <w:rFonts w:hint="eastAsia" w:ascii="仿宋_GB2312" w:eastAsia="仿宋_GB2312"/>
          <w:b w:val="0"/>
          <w:sz w:val="32"/>
          <w:szCs w:val="32"/>
          <w:lang w:eastAsia="zh-CN"/>
        </w:rPr>
        <w:t>”“</w:t>
      </w:r>
      <w:r>
        <w:rPr>
          <w:rFonts w:ascii="仿宋_GB2312" w:eastAsia="仿宋_GB2312"/>
          <w:b w:val="0"/>
          <w:sz w:val="32"/>
          <w:szCs w:val="32"/>
        </w:rPr>
        <w:t>附属单位上缴收入”等之外取得的收入。</w:t>
      </w:r>
    </w:p>
    <w:p w14:paraId="41D45C6C">
      <w:pPr>
        <w:widowControl/>
        <w:spacing w:before="0" w:beforeLines="0" w:beforeAutospacing="0" w:after="0" w:afterLines="0" w:afterAutospacing="0" w:line="36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04D4FBF8">
      <w:pPr>
        <w:widowControl/>
        <w:spacing w:before="0" w:beforeLines="0" w:beforeAutospacing="0" w:after="0" w:afterLines="0" w:afterAutospacing="0" w:line="36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A86DBA">
      <w:pPr>
        <w:widowControl/>
        <w:spacing w:before="0" w:beforeLines="0" w:beforeAutospacing="0" w:after="0" w:afterLines="0" w:afterAutospacing="0" w:line="36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5B5E9870">
      <w:pPr>
        <w:widowControl/>
        <w:spacing w:before="0" w:beforeLines="0" w:beforeAutospacing="0" w:after="0" w:afterLines="0" w:afterAutospacing="0" w:line="36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5F20ADFB">
      <w:pPr>
        <w:widowControl/>
        <w:spacing w:before="0" w:beforeLines="0" w:beforeAutospacing="0" w:after="0" w:afterLines="0" w:afterAutospacing="0" w:line="36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5347DC28">
      <w:pPr>
        <w:widowControl/>
        <w:spacing w:before="0" w:beforeLines="0" w:beforeAutospacing="0" w:after="0" w:afterLines="0" w:afterAutospacing="0" w:line="36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0278BA55">
      <w:pPr>
        <w:widowControl/>
        <w:spacing w:before="0" w:beforeLines="0" w:beforeAutospacing="0" w:after="0" w:afterLines="0" w:afterAutospacing="0" w:line="360" w:lineRule="auto"/>
        <w:ind w:firstLine="643" w:firstLineChars="200"/>
        <w:jc w:val="left"/>
        <w:rPr>
          <w:rFonts w:ascii="仿宋_GB2312" w:eastAsia="仿宋_GB2312"/>
          <w:sz w:val="32"/>
          <w:szCs w:val="32"/>
        </w:rPr>
      </w:pPr>
      <w:r>
        <w:rPr>
          <w:rFonts w:ascii="仿宋_GB2312" w:eastAsia="仿宋_GB2312"/>
          <w:b/>
          <w:sz w:val="32"/>
          <w:szCs w:val="32"/>
        </w:rPr>
        <w:t>十三、</w:t>
      </w:r>
      <w:r>
        <w:rPr>
          <w:rFonts w:hint="eastAsia" w:ascii="仿宋_GB2312" w:eastAsia="仿宋_GB2312"/>
          <w:b/>
          <w:sz w:val="32"/>
          <w:szCs w:val="32"/>
          <w:lang w:eastAsia="zh-CN"/>
        </w:rPr>
        <w:t>“三公”经费</w:t>
      </w:r>
      <w:r>
        <w:rPr>
          <w:rFonts w:ascii="仿宋_GB2312" w:eastAsia="仿宋_GB2312"/>
          <w:b/>
          <w:sz w:val="32"/>
          <w:szCs w:val="32"/>
        </w:rPr>
        <w:t>：</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FDA89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hint="eastAsia" w:ascii="仿宋_GB2312" w:hAnsi="Times New Roman" w:eastAsia="仿宋_GB2312" w:cs="Times New Roman"/>
          <w:kern w:val="2"/>
          <w:sz w:val="32"/>
          <w:szCs w:val="32"/>
          <w:highlight w:val="none"/>
          <w:lang w:eastAsia="zh-CN"/>
        </w:rPr>
      </w:pPr>
      <w:r>
        <w:rPr>
          <w:rFonts w:ascii="仿宋_GB2312" w:eastAsia="仿宋_GB2312"/>
          <w:b/>
          <w:sz w:val="32"/>
          <w:szCs w:val="32"/>
        </w:rPr>
        <w:t>十四、机关运行经费：</w:t>
      </w:r>
      <w:r>
        <w:rPr>
          <w:rFonts w:hint="eastAsia" w:ascii="仿宋_GB2312" w:hAnsi="Times New Roman" w:eastAsia="仿宋_GB2312" w:cs="Times New Roman"/>
          <w:kern w:val="2"/>
          <w:sz w:val="32"/>
          <w:szCs w:val="32"/>
          <w:highlight w:val="none"/>
          <w:lang w:eastAsia="zh-CN"/>
        </w:rPr>
        <w:t>行政单位和参照公务员法管理的事业单位财政拨款基本支出中的公用经费支出。</w:t>
      </w:r>
    </w:p>
    <w:p w14:paraId="412FE77D">
      <w:pPr>
        <w:widowControl/>
        <w:spacing w:line="360" w:lineRule="auto"/>
      </w:pPr>
      <w:r>
        <w:rPr>
          <w:b w:val="0"/>
          <w:sz w:val="0"/>
          <w:szCs w:val="0"/>
        </w:rPr>
        <w:br w:type="page"/>
      </w:r>
    </w:p>
    <w:p w14:paraId="5AAEC7B9">
      <w:pPr>
        <w:widowControl/>
        <w:spacing w:before="0" w:beforeLines="0" w:beforeAutospacing="0" w:after="0" w:afterLines="0" w:afterAutospacing="0" w:line="360" w:lineRule="auto"/>
        <w:jc w:val="center"/>
        <w:outlineLvl w:val="0"/>
        <w:rPr>
          <w:rFonts w:ascii="黑体" w:eastAsia="黑体"/>
          <w:sz w:val="32"/>
          <w:szCs w:val="32"/>
        </w:rPr>
      </w:pPr>
      <w:r>
        <w:rPr>
          <w:rFonts w:ascii="黑体" w:eastAsia="黑体"/>
          <w:b w:val="0"/>
          <w:sz w:val="32"/>
          <w:szCs w:val="32"/>
        </w:rPr>
        <w:t>第四部分</w:t>
      </w:r>
      <w:r>
        <w:rPr>
          <w:rFonts w:hint="eastAsia" w:ascii="黑体" w:eastAsia="黑体"/>
          <w:b w:val="0"/>
          <w:sz w:val="32"/>
          <w:szCs w:val="32"/>
          <w:lang w:val="en-US" w:eastAsia="zh-CN"/>
        </w:rPr>
        <w:t xml:space="preserve"> </w:t>
      </w:r>
      <w:r>
        <w:rPr>
          <w:rFonts w:ascii="黑体" w:eastAsia="黑体"/>
          <w:b w:val="0"/>
          <w:sz w:val="32"/>
          <w:szCs w:val="32"/>
        </w:rPr>
        <w:t>部门决算报表（见附表）</w:t>
      </w:r>
    </w:p>
    <w:p w14:paraId="579733AD">
      <w:pPr>
        <w:widowControl/>
        <w:numPr>
          <w:ilvl w:val="0"/>
          <w:numId w:val="1"/>
        </w:numPr>
        <w:spacing w:before="0" w:beforeLines="0" w:beforeAutospacing="0" w:after="0" w:afterLines="0" w:afterAutospacing="0" w:line="360" w:lineRule="auto"/>
        <w:ind w:firstLine="640" w:firstLineChars="200"/>
        <w:jc w:val="left"/>
        <w:outlineLvl w:val="1"/>
        <w:rPr>
          <w:rFonts w:ascii="仿宋_GB2312" w:eastAsia="仿宋_GB2312"/>
          <w:b w:val="0"/>
          <w:sz w:val="32"/>
          <w:szCs w:val="32"/>
        </w:rPr>
      </w:pPr>
      <w:r>
        <w:rPr>
          <w:rFonts w:ascii="仿宋_GB2312" w:eastAsia="仿宋_GB2312"/>
          <w:b w:val="0"/>
          <w:sz w:val="32"/>
          <w:szCs w:val="32"/>
        </w:rPr>
        <w:t>《收入支出决算总表》</w:t>
      </w:r>
    </w:p>
    <w:p w14:paraId="6DC2D2EE">
      <w:pPr>
        <w:widowControl/>
        <w:numPr>
          <w:ilvl w:val="0"/>
          <w:numId w:val="1"/>
        </w:numPr>
        <w:spacing w:before="0" w:beforeLines="0" w:beforeAutospacing="0" w:after="0" w:afterLines="0" w:afterAutospacing="0" w:line="360" w:lineRule="auto"/>
        <w:ind w:left="0" w:leftChars="0" w:firstLine="640" w:firstLineChars="200"/>
        <w:jc w:val="left"/>
        <w:outlineLvl w:val="1"/>
        <w:rPr>
          <w:rFonts w:ascii="仿宋_GB2312" w:eastAsia="仿宋_GB2312"/>
          <w:b w:val="0"/>
          <w:sz w:val="32"/>
          <w:szCs w:val="32"/>
        </w:rPr>
      </w:pPr>
      <w:r>
        <w:rPr>
          <w:rFonts w:ascii="仿宋_GB2312" w:eastAsia="仿宋_GB2312"/>
          <w:b w:val="0"/>
          <w:sz w:val="32"/>
          <w:szCs w:val="32"/>
        </w:rPr>
        <w:t>《收入决算表》</w:t>
      </w:r>
    </w:p>
    <w:p w14:paraId="1929BE78">
      <w:pPr>
        <w:widowControl/>
        <w:numPr>
          <w:ilvl w:val="0"/>
          <w:numId w:val="0"/>
        </w:numPr>
        <w:spacing w:before="0" w:beforeLines="0" w:beforeAutospacing="0" w:after="0" w:afterLines="0" w:afterAutospacing="0" w:line="360" w:lineRule="auto"/>
        <w:ind w:firstLine="640" w:firstLineChars="200"/>
        <w:jc w:val="left"/>
        <w:outlineLvl w:val="1"/>
      </w:pPr>
      <w:r>
        <w:rPr>
          <w:rFonts w:hint="eastAsia" w:ascii="仿宋_GB2312" w:eastAsia="仿宋_GB2312"/>
          <w:b w:val="0"/>
          <w:sz w:val="32"/>
          <w:szCs w:val="32"/>
          <w:lang w:val="en-US" w:eastAsia="zh-CN"/>
        </w:rPr>
        <w:t>三、</w:t>
      </w:r>
      <w:r>
        <w:rPr>
          <w:rFonts w:ascii="仿宋_GB2312" w:eastAsia="仿宋_GB2312"/>
          <w:b w:val="0"/>
          <w:sz w:val="32"/>
          <w:szCs w:val="32"/>
        </w:rPr>
        <w:t>《支出决算表》</w:t>
      </w:r>
    </w:p>
    <w:p w14:paraId="0D4B0C6C">
      <w:pPr>
        <w:widowControl/>
        <w:numPr>
          <w:ilvl w:val="0"/>
          <w:numId w:val="0"/>
        </w:numPr>
        <w:spacing w:before="0" w:beforeLines="0" w:beforeAutospacing="0" w:after="0" w:afterLines="0" w:afterAutospacing="0" w:line="360" w:lineRule="auto"/>
        <w:ind w:firstLine="640" w:firstLineChars="200"/>
        <w:jc w:val="left"/>
        <w:outlineLvl w:val="1"/>
        <w:rPr>
          <w:rFonts w:ascii="仿宋_GB2312" w:eastAsia="仿宋_GB2312"/>
          <w:b w:val="0"/>
          <w:sz w:val="32"/>
          <w:szCs w:val="32"/>
        </w:rPr>
      </w:pPr>
      <w:r>
        <w:rPr>
          <w:rFonts w:hint="eastAsia" w:ascii="仿宋_GB2312" w:eastAsia="仿宋_GB2312"/>
          <w:b w:val="0"/>
          <w:sz w:val="32"/>
          <w:szCs w:val="32"/>
          <w:lang w:val="en-US" w:eastAsia="zh-CN"/>
        </w:rPr>
        <w:t>四、</w:t>
      </w:r>
      <w:r>
        <w:rPr>
          <w:rFonts w:ascii="仿宋_GB2312" w:eastAsia="仿宋_GB2312"/>
          <w:b w:val="0"/>
          <w:sz w:val="32"/>
          <w:szCs w:val="32"/>
        </w:rPr>
        <w:t>《财政拨款收入支出决算总表》</w:t>
      </w:r>
    </w:p>
    <w:p w14:paraId="5917C8DF">
      <w:pPr>
        <w:widowControl/>
        <w:numPr>
          <w:ilvl w:val="0"/>
          <w:numId w:val="0"/>
        </w:numPr>
        <w:spacing w:before="0" w:beforeLines="0" w:beforeAutospacing="0" w:after="0" w:afterLines="0" w:afterAutospacing="0" w:line="360" w:lineRule="auto"/>
        <w:ind w:firstLine="640" w:firstLineChars="200"/>
        <w:jc w:val="left"/>
        <w:outlineLvl w:val="1"/>
        <w:rPr>
          <w:rFonts w:ascii="仿宋_GB2312" w:eastAsia="仿宋_GB2312"/>
          <w:b w:val="0"/>
          <w:sz w:val="32"/>
          <w:szCs w:val="32"/>
        </w:rPr>
      </w:pPr>
      <w:r>
        <w:rPr>
          <w:rFonts w:hint="eastAsia" w:ascii="仿宋_GB2312" w:eastAsia="仿宋_GB2312"/>
          <w:b w:val="0"/>
          <w:sz w:val="32"/>
          <w:szCs w:val="32"/>
          <w:lang w:val="en-US" w:eastAsia="zh-CN"/>
        </w:rPr>
        <w:t>五、</w:t>
      </w:r>
      <w:r>
        <w:rPr>
          <w:rFonts w:ascii="仿宋_GB2312" w:eastAsia="仿宋_GB2312"/>
          <w:b w:val="0"/>
          <w:sz w:val="32"/>
          <w:szCs w:val="32"/>
        </w:rPr>
        <w:t>《一般公共预算财政拨款支出决算表》</w:t>
      </w:r>
    </w:p>
    <w:p w14:paraId="251AAE92">
      <w:pPr>
        <w:widowControl/>
        <w:spacing w:before="0" w:beforeLines="0" w:beforeAutospacing="0" w:after="0" w:afterLines="0" w:afterAutospacing="0" w:line="36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0D4CE4A4">
      <w:pPr>
        <w:widowControl/>
        <w:numPr>
          <w:ilvl w:val="0"/>
          <w:numId w:val="0"/>
        </w:numPr>
        <w:spacing w:before="0" w:beforeLines="0" w:beforeAutospacing="0" w:after="0" w:afterLines="0" w:afterAutospacing="0" w:line="360" w:lineRule="auto"/>
        <w:ind w:firstLine="640" w:firstLineChars="200"/>
        <w:jc w:val="left"/>
        <w:outlineLvl w:val="1"/>
        <w:rPr>
          <w:rFonts w:ascii="仿宋_GB2312" w:eastAsia="仿宋_GB2312"/>
          <w:b w:val="0"/>
          <w:sz w:val="32"/>
          <w:szCs w:val="32"/>
        </w:rPr>
      </w:pPr>
      <w:r>
        <w:rPr>
          <w:rFonts w:hint="eastAsia" w:ascii="仿宋_GB2312" w:eastAsia="仿宋_GB2312"/>
          <w:b w:val="0"/>
          <w:sz w:val="32"/>
          <w:szCs w:val="32"/>
          <w:lang w:val="en-US" w:eastAsia="zh-CN"/>
        </w:rPr>
        <w:t>七、</w:t>
      </w:r>
      <w:r>
        <w:rPr>
          <w:rFonts w:ascii="仿宋_GB2312" w:eastAsia="仿宋_GB2312"/>
          <w:b w:val="0"/>
          <w:sz w:val="32"/>
          <w:szCs w:val="32"/>
        </w:rPr>
        <w:t>《政府性基金预算财政拨款收入支出决算表》</w:t>
      </w:r>
    </w:p>
    <w:p w14:paraId="0643B185">
      <w:pPr>
        <w:widowControl/>
        <w:spacing w:before="0" w:beforeLines="0" w:beforeAutospacing="0" w:after="0" w:afterLines="0" w:afterAutospacing="0" w:line="360" w:lineRule="auto"/>
        <w:ind w:firstLine="640" w:firstLineChars="200"/>
        <w:jc w:val="left"/>
        <w:outlineLvl w:val="1"/>
        <w:rPr>
          <w:rFonts w:ascii="仿宋_GB2312" w:eastAsia="仿宋_GB2312"/>
          <w:b w:val="0"/>
          <w:sz w:val="32"/>
          <w:szCs w:val="32"/>
        </w:rPr>
      </w:pPr>
      <w:r>
        <w:rPr>
          <w:rFonts w:ascii="仿宋_GB2312" w:eastAsia="仿宋_GB2312"/>
          <w:b w:val="0"/>
          <w:sz w:val="32"/>
          <w:szCs w:val="32"/>
        </w:rPr>
        <w:t>八、《国有资本经营预算财政拨款收入支出决算表》</w:t>
      </w:r>
    </w:p>
    <w:p w14:paraId="3AAAE42A">
      <w:pPr>
        <w:widowControl/>
        <w:numPr>
          <w:ilvl w:val="0"/>
          <w:numId w:val="0"/>
        </w:numPr>
        <w:spacing w:before="0" w:beforeLines="0" w:beforeAutospacing="0" w:after="0" w:afterLines="0" w:afterAutospacing="0" w:line="360" w:lineRule="auto"/>
        <w:ind w:firstLine="640" w:firstLineChars="200"/>
        <w:jc w:val="left"/>
        <w:outlineLvl w:val="1"/>
        <w:rPr>
          <w:rFonts w:ascii="仿宋_GB2312" w:eastAsia="仿宋_GB2312"/>
          <w:b w:val="0"/>
          <w:sz w:val="32"/>
          <w:szCs w:val="32"/>
        </w:rPr>
      </w:pPr>
      <w:r>
        <w:rPr>
          <w:rFonts w:hint="eastAsia" w:ascii="仿宋_GB2312" w:eastAsia="仿宋_GB2312"/>
          <w:b w:val="0"/>
          <w:sz w:val="32"/>
          <w:szCs w:val="32"/>
          <w:lang w:val="en-US" w:eastAsia="zh-CN"/>
        </w:rPr>
        <w:t>九、</w:t>
      </w:r>
      <w:r>
        <w:rPr>
          <w:rFonts w:ascii="仿宋_GB2312" w:eastAsia="仿宋_GB2312"/>
          <w:b w:val="0"/>
          <w:sz w:val="32"/>
          <w:szCs w:val="32"/>
        </w:rPr>
        <w:t>《财政拨款“三公”经费支出决算表》</w:t>
      </w:r>
    </w:p>
    <w:p w14:paraId="7A9DF3C7">
      <w:pPr>
        <w:widowControl/>
        <w:numPr>
          <w:ilvl w:val="0"/>
          <w:numId w:val="0"/>
        </w:numPr>
        <w:spacing w:before="0" w:beforeLines="0" w:beforeAutospacing="0" w:after="0" w:afterLines="0" w:afterAutospacing="0" w:line="360" w:lineRule="auto"/>
        <w:jc w:val="left"/>
        <w:outlineLvl w:val="1"/>
        <w:rPr>
          <w:rFonts w:ascii="仿宋_GB2312" w:eastAsia="仿宋_GB2312"/>
          <w:b w:val="0"/>
          <w:sz w:val="32"/>
          <w:szCs w:val="32"/>
        </w:rPr>
      </w:pP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C408A3-A02C-45A0-90AC-3FC5E78144D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EAF62D7-1C2D-4A5F-A8A1-1E47C42889E2}"/>
  </w:font>
  <w:font w:name="Cambria">
    <w:panose1 w:val="02040503050406030204"/>
    <w:charset w:val="00"/>
    <w:family w:val="auto"/>
    <w:pitch w:val="default"/>
    <w:sig w:usb0="E00002FF" w:usb1="400004FF" w:usb2="00000000" w:usb3="00000000" w:csb0="2000019F" w:csb1="00000000"/>
  </w:font>
  <w:font w:name="方正小标宋_GBK">
    <w:panose1 w:val="03000509000000000000"/>
    <w:charset w:val="86"/>
    <w:family w:val="auto"/>
    <w:pitch w:val="default"/>
    <w:sig w:usb0="00000001" w:usb1="080E0000" w:usb2="00000000" w:usb3="00000000" w:csb0="00040000" w:csb1="00000000"/>
    <w:embedRegular r:id="rId3" w:fontKey="{674059B2-D372-46BB-98CD-0EFE2CD6EDF3}"/>
  </w:font>
  <w:font w:name="仿宋_GB2312">
    <w:panose1 w:val="02010609030101010101"/>
    <w:charset w:val="86"/>
    <w:family w:val="auto"/>
    <w:pitch w:val="default"/>
    <w:sig w:usb0="00000001" w:usb1="080E0000" w:usb2="00000000" w:usb3="00000000" w:csb0="00040000" w:csb1="00000000"/>
    <w:embedRegular r:id="rId4" w:fontKey="{1B5E3925-964C-4F35-873E-D8BFD3A94C98}"/>
  </w:font>
  <w:font w:name="方正仿宋_GB2312">
    <w:panose1 w:val="02000000000000000000"/>
    <w:charset w:val="86"/>
    <w:family w:val="auto"/>
    <w:pitch w:val="default"/>
    <w:sig w:usb0="A00002BF" w:usb1="184F6CFA" w:usb2="00000012" w:usb3="00000000" w:csb0="00040001" w:csb1="00000000"/>
    <w:embedRegular r:id="rId5" w:fontKey="{68C298E9-924B-4140-9B06-61700F8807F8}"/>
  </w:font>
  <w:font w:name="WPSEMBED2">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358D8A"/>
    <w:multiLevelType w:val="singleLevel"/>
    <w:tmpl w:val="FF358D8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074CA"/>
    <w:rsid w:val="069F5975"/>
    <w:rsid w:val="06F7402A"/>
    <w:rsid w:val="073A569E"/>
    <w:rsid w:val="079E66B3"/>
    <w:rsid w:val="07A86AAB"/>
    <w:rsid w:val="07BC60B3"/>
    <w:rsid w:val="07DC0503"/>
    <w:rsid w:val="0876615F"/>
    <w:rsid w:val="08E25FED"/>
    <w:rsid w:val="09246605"/>
    <w:rsid w:val="093525C0"/>
    <w:rsid w:val="0A002BCE"/>
    <w:rsid w:val="0A4A209B"/>
    <w:rsid w:val="0ACE05D7"/>
    <w:rsid w:val="0B48482D"/>
    <w:rsid w:val="0BC11EE9"/>
    <w:rsid w:val="0C4548C9"/>
    <w:rsid w:val="0D1E49CA"/>
    <w:rsid w:val="0DC43CFC"/>
    <w:rsid w:val="0E356BBF"/>
    <w:rsid w:val="102E38C6"/>
    <w:rsid w:val="106A2B50"/>
    <w:rsid w:val="10CD441E"/>
    <w:rsid w:val="10EE4ECB"/>
    <w:rsid w:val="13525B1D"/>
    <w:rsid w:val="13985C26"/>
    <w:rsid w:val="140212F1"/>
    <w:rsid w:val="14151024"/>
    <w:rsid w:val="14D7452C"/>
    <w:rsid w:val="15826B8D"/>
    <w:rsid w:val="159D7523"/>
    <w:rsid w:val="15C50828"/>
    <w:rsid w:val="15D32F45"/>
    <w:rsid w:val="175C51BC"/>
    <w:rsid w:val="1867549B"/>
    <w:rsid w:val="189F1804"/>
    <w:rsid w:val="1A8E38DF"/>
    <w:rsid w:val="1C8F2A04"/>
    <w:rsid w:val="1DAA4ED3"/>
    <w:rsid w:val="1F2C1918"/>
    <w:rsid w:val="20825C93"/>
    <w:rsid w:val="21134B3E"/>
    <w:rsid w:val="21676C37"/>
    <w:rsid w:val="21D342CD"/>
    <w:rsid w:val="21F901D7"/>
    <w:rsid w:val="22F866E1"/>
    <w:rsid w:val="23490F23"/>
    <w:rsid w:val="242D23BA"/>
    <w:rsid w:val="24822706"/>
    <w:rsid w:val="24B65F0C"/>
    <w:rsid w:val="24CA5E5B"/>
    <w:rsid w:val="265A6D6B"/>
    <w:rsid w:val="2674607E"/>
    <w:rsid w:val="27B506FD"/>
    <w:rsid w:val="29193C73"/>
    <w:rsid w:val="294D2BB7"/>
    <w:rsid w:val="2A97233B"/>
    <w:rsid w:val="2AEA2DB3"/>
    <w:rsid w:val="2B312790"/>
    <w:rsid w:val="2B5320D6"/>
    <w:rsid w:val="2B674404"/>
    <w:rsid w:val="2C2A71DF"/>
    <w:rsid w:val="2CA13945"/>
    <w:rsid w:val="2F5C1DA5"/>
    <w:rsid w:val="2FB27C17"/>
    <w:rsid w:val="2FF80162"/>
    <w:rsid w:val="30586A11"/>
    <w:rsid w:val="343B668D"/>
    <w:rsid w:val="34784F8C"/>
    <w:rsid w:val="34AA710F"/>
    <w:rsid w:val="35466E38"/>
    <w:rsid w:val="382C4A0B"/>
    <w:rsid w:val="38E15F1D"/>
    <w:rsid w:val="392751D2"/>
    <w:rsid w:val="3B3243A4"/>
    <w:rsid w:val="3CE60F00"/>
    <w:rsid w:val="3D290A1D"/>
    <w:rsid w:val="3DB37034"/>
    <w:rsid w:val="3DB443FE"/>
    <w:rsid w:val="3DF15DAF"/>
    <w:rsid w:val="3E630A5B"/>
    <w:rsid w:val="3EA3067E"/>
    <w:rsid w:val="3F88629F"/>
    <w:rsid w:val="40537DE8"/>
    <w:rsid w:val="41771237"/>
    <w:rsid w:val="418036D2"/>
    <w:rsid w:val="41856F3A"/>
    <w:rsid w:val="424326CB"/>
    <w:rsid w:val="42650D34"/>
    <w:rsid w:val="42756FAE"/>
    <w:rsid w:val="435C22DD"/>
    <w:rsid w:val="45084F4F"/>
    <w:rsid w:val="454B2248"/>
    <w:rsid w:val="45790B64"/>
    <w:rsid w:val="45DD7344"/>
    <w:rsid w:val="47486A40"/>
    <w:rsid w:val="48757D08"/>
    <w:rsid w:val="48F21359"/>
    <w:rsid w:val="48F74BC1"/>
    <w:rsid w:val="4A1C2405"/>
    <w:rsid w:val="4AE7656F"/>
    <w:rsid w:val="4BD50ABE"/>
    <w:rsid w:val="4C215AB1"/>
    <w:rsid w:val="4C786019"/>
    <w:rsid w:val="4D0A4797"/>
    <w:rsid w:val="4DA52BE0"/>
    <w:rsid w:val="4E5008D0"/>
    <w:rsid w:val="4E984750"/>
    <w:rsid w:val="514364CA"/>
    <w:rsid w:val="53CE7D56"/>
    <w:rsid w:val="540A502D"/>
    <w:rsid w:val="54881046"/>
    <w:rsid w:val="55202DAA"/>
    <w:rsid w:val="559D089E"/>
    <w:rsid w:val="55D45DD4"/>
    <w:rsid w:val="569972B8"/>
    <w:rsid w:val="56D352CD"/>
    <w:rsid w:val="578A02E3"/>
    <w:rsid w:val="591A2206"/>
    <w:rsid w:val="5A2055FA"/>
    <w:rsid w:val="5A9B1234"/>
    <w:rsid w:val="5BBE50CA"/>
    <w:rsid w:val="5BE2502A"/>
    <w:rsid w:val="5BF55174"/>
    <w:rsid w:val="5BF64864"/>
    <w:rsid w:val="5D096819"/>
    <w:rsid w:val="5D192F00"/>
    <w:rsid w:val="5E71466C"/>
    <w:rsid w:val="5EF86B45"/>
    <w:rsid w:val="5EFF7E4B"/>
    <w:rsid w:val="60F56AA8"/>
    <w:rsid w:val="61181721"/>
    <w:rsid w:val="61477910"/>
    <w:rsid w:val="61A41ADB"/>
    <w:rsid w:val="62587FA1"/>
    <w:rsid w:val="635679A6"/>
    <w:rsid w:val="637013A0"/>
    <w:rsid w:val="63C35974"/>
    <w:rsid w:val="64432611"/>
    <w:rsid w:val="64AD3F2E"/>
    <w:rsid w:val="6511270F"/>
    <w:rsid w:val="65137B25"/>
    <w:rsid w:val="65370D45"/>
    <w:rsid w:val="65764C68"/>
    <w:rsid w:val="661324B7"/>
    <w:rsid w:val="676E5BF7"/>
    <w:rsid w:val="68822004"/>
    <w:rsid w:val="688D02FE"/>
    <w:rsid w:val="69A41DA4"/>
    <w:rsid w:val="69DD43C3"/>
    <w:rsid w:val="69E71C90"/>
    <w:rsid w:val="6AB04778"/>
    <w:rsid w:val="6BD6020E"/>
    <w:rsid w:val="6F6049BF"/>
    <w:rsid w:val="6F675D4D"/>
    <w:rsid w:val="6F92269E"/>
    <w:rsid w:val="6FC94943"/>
    <w:rsid w:val="71B96608"/>
    <w:rsid w:val="71CF7BDA"/>
    <w:rsid w:val="71D51D95"/>
    <w:rsid w:val="71E01DE7"/>
    <w:rsid w:val="73092C77"/>
    <w:rsid w:val="756B7C19"/>
    <w:rsid w:val="75EB48B6"/>
    <w:rsid w:val="768947FB"/>
    <w:rsid w:val="76B15B00"/>
    <w:rsid w:val="76B4739E"/>
    <w:rsid w:val="78D635FC"/>
    <w:rsid w:val="7A6B246A"/>
    <w:rsid w:val="7AE55D78"/>
    <w:rsid w:val="7C9C690A"/>
    <w:rsid w:val="7CC35C7D"/>
    <w:rsid w:val="7D9F66B2"/>
    <w:rsid w:val="7DAE0FEB"/>
    <w:rsid w:val="7E2B263C"/>
    <w:rsid w:val="7E9E696A"/>
    <w:rsid w:val="7F3E51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0"/>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1"/>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2"/>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3"/>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8">
    <w:name w:val="header"/>
    <w:basedOn w:val="1"/>
    <w:link w:val="19"/>
    <w:unhideWhenUsed/>
    <w:qFormat/>
    <w:uiPriority w:val="99"/>
    <w:pPr>
      <w:tabs>
        <w:tab w:val="center" w:pos="4680"/>
        <w:tab w:val="right" w:pos="9360"/>
      </w:tabs>
    </w:pPr>
  </w:style>
  <w:style w:type="paragraph" w:styleId="9">
    <w:name w:val="toc 1"/>
    <w:basedOn w:val="1"/>
    <w:next w:val="1"/>
    <w:qFormat/>
    <w:uiPriority w:val="0"/>
  </w:style>
  <w:style w:type="paragraph" w:styleId="10">
    <w:name w:val="Subtitle"/>
    <w:basedOn w:val="1"/>
    <w:next w:val="1"/>
    <w:link w:val="24"/>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1">
    <w:name w:val="toc 2"/>
    <w:basedOn w:val="1"/>
    <w:next w:val="1"/>
    <w:qFormat/>
    <w:uiPriority w:val="0"/>
    <w:pPr>
      <w:ind w:left="420" w:leftChars="200"/>
    </w:p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3">
    <w:name w:val="Title"/>
    <w:basedOn w:val="1"/>
    <w:next w:val="1"/>
    <w:link w:val="25"/>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7">
    <w:name w:val="Emphasis"/>
    <w:basedOn w:val="16"/>
    <w:qFormat/>
    <w:uiPriority w:val="20"/>
    <w:rPr>
      <w:i/>
      <w:iCs/>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character" w:customStyle="1" w:styleId="19">
    <w:name w:val="Header Char"/>
    <w:basedOn w:val="16"/>
    <w:link w:val="8"/>
    <w:qFormat/>
    <w:uiPriority w:val="99"/>
  </w:style>
  <w:style w:type="character" w:customStyle="1" w:styleId="20">
    <w:name w:val="Heading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1">
    <w:name w:val="Heading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2">
    <w:name w:val="Heading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3">
    <w:name w:val="Heading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4">
    <w:name w:val="Subtitle Char"/>
    <w:basedOn w:val="16"/>
    <w:link w:val="10"/>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5">
    <w:name w:val="Title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6">
    <w:name w:val="font31"/>
    <w:basedOn w:val="16"/>
    <w:qFormat/>
    <w:uiPriority w:val="0"/>
    <w:rPr>
      <w:rFonts w:hint="eastAsia" w:ascii="宋体" w:hAnsi="宋体" w:eastAsia="宋体" w:cs="宋体"/>
      <w:color w:val="000000"/>
      <w:sz w:val="20"/>
      <w:szCs w:val="20"/>
      <w:u w:val="none"/>
    </w:rPr>
  </w:style>
  <w:style w:type="paragraph" w:customStyle="1" w:styleId="27">
    <w:name w:val="List Paragraph_53caee99-58e5-4d91-9132-27f2fe4107d8"/>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18</Pages>
  <Words>6315</Words>
  <Characters>7052</Characters>
  <TotalTime>0</TotalTime>
  <ScaleCrop>false</ScaleCrop>
  <LinksUpToDate>false</LinksUpToDate>
  <CharactersWithSpaces>7062</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2025-08-06T03:50:00Z</dcterms:created>
  <dc:creator>Administrator</dc:creator>
  <cp:lastModifiedBy>221B</cp:lastModifiedBy>
  <dcterms:modified xsi:type="dcterms:W3CDTF">2025-10-16T08:05:49Z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AD9C1FF839DC41B18C9A94C69507EB6C_13</vt:lpwstr>
  </property>
  <property fmtid="{D5CDD505-2E9C-101B-9397-08002B2CF9AE}" pid="4" name="KSOTemplateDocerSaveRecord">
    <vt:lpwstr>eyJoZGlkIjoiODc4Yzk1M2E5M2IzN2U1MWQ3MjIzMjkxMGE5Y2NjZjQiLCJ1c2VySWQiOiIyNDgzNzQxNTEifQ==</vt:lpwstr>
  </property>
</Properties>
</file>