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E654C">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620842A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6E656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BB3A44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650F1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9E7CE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​新疆维吾尔自治区文物考古研究所</w:t>
      </w:r>
    </w:p>
    <w:p w14:paraId="223A48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r>
        <w:rPr>
          <w:rFonts w:hint="eastAsia" w:ascii="方正小标宋_GBK" w:hAnsi="宋体" w:eastAsia="方正小标宋_GBK"/>
          <w:sz w:val="44"/>
          <w:szCs w:val="44"/>
          <w:highlight w:val="none"/>
        </w:rPr>
        <w:t>部门决算</w:t>
      </w:r>
    </w:p>
    <w:p w14:paraId="7141DA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459F4EC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EFAFD69">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34F16B6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00C0257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128F985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708884C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03B8C8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67087F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7651A62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D8188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9CBF3B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125FA7B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076608E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4B8EDD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D2DD33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0DE3863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C8C6C7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2C141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827404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7014325">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4ACC4F5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6653921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28159F5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AEB5A6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36A0F4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3067B5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380E8B4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0FCBC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40F586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D76B86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066057D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4DD4F73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F0D79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F8DA9D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仿宋_GB2312" w:hAnsi="仿宋_GB2312" w:eastAsia="仿宋_GB2312" w:cs="仿宋_GB2312"/>
          <w:sz w:val="32"/>
          <w:szCs w:val="32"/>
          <w:highlight w:val="none"/>
        </w:rPr>
        <w:fldChar w:fldCharType="end"/>
      </w:r>
      <w:r>
        <w:rPr>
          <w:rFonts w:hint="eastAsia" w:ascii="仿宋_GB2312" w:eastAsia="仿宋_GB2312"/>
          <w:sz w:val="32"/>
          <w:szCs w:val="32"/>
          <w:highlight w:val="none"/>
        </w:rPr>
        <w:br w:type="page"/>
      </w:r>
      <w:bookmarkStart w:id="0" w:name="_Toc31918"/>
      <w:bookmarkStart w:id="1" w:name="_Toc24028"/>
      <w:r>
        <w:rPr>
          <w:rFonts w:hint="eastAsia" w:ascii="黑体" w:hAnsi="黑体" w:eastAsia="黑体"/>
          <w:sz w:val="32"/>
          <w:szCs w:val="32"/>
          <w:highlight w:val="none"/>
        </w:rPr>
        <w:t>第一部分 单位概况</w:t>
      </w:r>
      <w:bookmarkEnd w:id="0"/>
      <w:bookmarkEnd w:id="1"/>
    </w:p>
    <w:p w14:paraId="26BB55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2898"/>
      <w:r>
        <w:rPr>
          <w:rFonts w:hint="eastAsia" w:ascii="黑体" w:hAnsi="黑体" w:eastAsia="黑体" w:cs="宋体"/>
          <w:bCs/>
          <w:kern w:val="0"/>
          <w:sz w:val="32"/>
          <w:szCs w:val="32"/>
          <w:highlight w:val="none"/>
        </w:rPr>
        <w:t>一、主要职能</w:t>
      </w:r>
      <w:bookmarkEnd w:id="2"/>
      <w:bookmarkEnd w:id="3"/>
    </w:p>
    <w:p w14:paraId="13DF62B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val="en-US" w:eastAsia="zh-CN"/>
        </w:rPr>
        <w:t>新疆维吾尔自治区文物考古研究所主要承担自治区境内文物考古调查、发掘与研究，出土文物的修复保护与科学研究，开展边疆文物考古基础理论研究，文物保护技术与方法研究，文物档案资料管理与研究，文物信息管理与利用。保护设计方案咨询，文物保护科技人员培训，文物考古咨询，开展国内外的学术交流与合作。</w:t>
      </w:r>
    </w:p>
    <w:p w14:paraId="5F11E8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1387"/>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14:paraId="5E9BFBD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hAnsi="仿宋_GB2312" w:eastAsia="仿宋_GB2312" w:cs="仿宋_GB2312"/>
          <w:b/>
          <w:sz w:val="32"/>
          <w:szCs w:val="32"/>
          <w:highlight w:val="none"/>
          <w:lang w:val="en-US" w:eastAsia="zh-CN"/>
        </w:rPr>
      </w:pPr>
      <w:r>
        <w:rPr>
          <w:rFonts w:hint="eastAsia" w:ascii="仿宋_GB2312" w:eastAsia="仿宋_GB2312"/>
          <w:spacing w:val="0"/>
          <w:sz w:val="32"/>
          <w:szCs w:val="32"/>
          <w:highlight w:val="none"/>
          <w:lang w:val="en-US" w:eastAsia="zh-CN"/>
        </w:rPr>
        <w:t>新疆维吾尔自治区文物考古研究所</w:t>
      </w: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91</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65</w:t>
      </w:r>
      <w:r>
        <w:rPr>
          <w:rFonts w:hint="eastAsia" w:ascii="仿宋_GB2312" w:eastAsia="仿宋_GB2312"/>
          <w:sz w:val="32"/>
          <w:szCs w:val="32"/>
          <w:highlight w:val="none"/>
        </w:rPr>
        <w:t>人</w:t>
      </w:r>
      <w:r>
        <w:rPr>
          <w:rFonts w:hint="eastAsia" w:ascii="仿宋_GB2312" w:hAnsi="宋体" w:eastAsia="仿宋_GB2312" w:cs="宋体"/>
          <w:color w:val="auto"/>
          <w:kern w:val="0"/>
          <w:sz w:val="32"/>
          <w:szCs w:val="32"/>
          <w:highlight w:val="none"/>
        </w:rPr>
        <w:t>，减少</w:t>
      </w:r>
      <w:r>
        <w:rPr>
          <w:rFonts w:hint="eastAsia" w:ascii="仿宋_GB2312" w:eastAsia="仿宋_GB2312"/>
          <w:sz w:val="32"/>
          <w:szCs w:val="32"/>
          <w:highlight w:val="none"/>
          <w:lang w:val="en-US" w:eastAsia="zh-CN"/>
        </w:rPr>
        <w:t>1</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r>
        <w:rPr>
          <w:rFonts w:hint="eastAsia" w:ascii="仿宋_GB2312" w:hAnsi="宋体" w:eastAsia="仿宋_GB2312" w:cs="宋体"/>
          <w:color w:val="auto"/>
          <w:kern w:val="0"/>
          <w:sz w:val="32"/>
          <w:szCs w:val="32"/>
          <w:highlight w:val="none"/>
        </w:rPr>
        <w:t>增加</w:t>
      </w:r>
      <w:r>
        <w:rPr>
          <w:rFonts w:hint="eastAsia" w:ascii="仿宋_GB2312" w:eastAsia="仿宋_GB2312"/>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退休人员</w:t>
      </w:r>
      <w:r>
        <w:rPr>
          <w:rFonts w:hint="eastAsia" w:ascii="仿宋_GB2312" w:eastAsia="仿宋_GB2312"/>
          <w:sz w:val="32"/>
          <w:szCs w:val="32"/>
          <w:highlight w:val="none"/>
          <w:lang w:val="en-US" w:eastAsia="zh-CN"/>
        </w:rPr>
        <w:t>26</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hAnsi="宋体" w:eastAsia="仿宋_GB2312" w:cs="宋体"/>
          <w:color w:val="auto"/>
          <w:kern w:val="0"/>
          <w:sz w:val="32"/>
          <w:szCs w:val="32"/>
          <w:highlight w:val="none"/>
        </w:rPr>
        <w:t>减少</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人</w:t>
      </w:r>
      <w:r>
        <w:rPr>
          <w:rFonts w:hint="eastAsia" w:ascii="仿宋_GB2312" w:eastAsia="仿宋_GB2312"/>
          <w:sz w:val="32"/>
          <w:szCs w:val="32"/>
          <w:highlight w:val="none"/>
        </w:rPr>
        <w:t>。</w:t>
      </w:r>
    </w:p>
    <w:p w14:paraId="6147E7C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lang w:val="en-US" w:eastAsia="zh-CN"/>
        </w:rPr>
        <w:t>5</w:t>
      </w:r>
      <w:r>
        <w:rPr>
          <w:rFonts w:hint="eastAsia" w:ascii="仿宋_GB2312" w:hAnsi="黑体" w:eastAsia="仿宋_GB2312" w:cs="宋体"/>
          <w:bCs/>
          <w:kern w:val="0"/>
          <w:sz w:val="32"/>
          <w:szCs w:val="32"/>
          <w:highlight w:val="none"/>
        </w:rPr>
        <w:t>个</w:t>
      </w:r>
      <w:r>
        <w:rPr>
          <w:rFonts w:hint="eastAsia" w:ascii="仿宋_GB2312" w:hAnsi="黑体" w:eastAsia="仿宋_GB2312" w:cs="宋体"/>
          <w:bCs/>
          <w:color w:val="auto"/>
          <w:kern w:val="0"/>
          <w:sz w:val="32"/>
          <w:szCs w:val="32"/>
          <w:highlight w:val="none"/>
          <w:lang w:val="en-US" w:eastAsia="zh-CN"/>
        </w:rPr>
        <w:t>科室</w:t>
      </w:r>
      <w:r>
        <w:rPr>
          <w:rFonts w:hint="eastAsia" w:ascii="仿宋_GB2312" w:hAnsi="黑体" w:eastAsia="仿宋_GB2312" w:cs="宋体"/>
          <w:bCs/>
          <w:kern w:val="0"/>
          <w:sz w:val="32"/>
          <w:szCs w:val="32"/>
          <w:highlight w:val="none"/>
        </w:rPr>
        <w:t>，</w:t>
      </w:r>
      <w:r>
        <w:rPr>
          <w:rFonts w:hint="eastAsia" w:ascii="仿宋_GB2312" w:eastAsia="仿宋_GB2312"/>
          <w:sz w:val="32"/>
          <w:szCs w:val="32"/>
          <w:highlight w:val="none"/>
          <w:lang w:val="en-US" w:eastAsia="zh-CN"/>
        </w:rPr>
        <w:t>分别是：办公室、</w:t>
      </w:r>
      <w:r>
        <w:rPr>
          <w:rFonts w:hint="eastAsia" w:ascii="仿宋_GB2312" w:hAnsi="黑体" w:eastAsia="仿宋_GB2312" w:cs="宋体"/>
          <w:bCs/>
          <w:kern w:val="0"/>
          <w:sz w:val="32"/>
          <w:szCs w:val="32"/>
          <w:highlight w:val="none"/>
          <w:lang w:val="en-US" w:eastAsia="zh-CN"/>
        </w:rPr>
        <w:t>史前考古部、汉唐考古部、资料管理部、技术保护部。</w:t>
      </w:r>
    </w:p>
    <w:p w14:paraId="0E89A96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3092"/>
      <w:bookmarkStart w:id="7" w:name="_Toc7559"/>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14:paraId="2403B0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6321"/>
      <w:r>
        <w:rPr>
          <w:rFonts w:hint="eastAsia" w:ascii="黑体" w:hAnsi="黑体" w:eastAsia="黑体" w:cs="宋体"/>
          <w:bCs/>
          <w:kern w:val="0"/>
          <w:sz w:val="32"/>
          <w:szCs w:val="32"/>
          <w:highlight w:val="none"/>
        </w:rPr>
        <w:t>一、收入支出决算总体情况说明</w:t>
      </w:r>
      <w:bookmarkEnd w:id="8"/>
      <w:bookmarkEnd w:id="9"/>
    </w:p>
    <w:p w14:paraId="29698896">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收入总计12,209.08</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其中：本年收入合计10,100.36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，使用非财政拨款结余（含专用结余）</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，年初结转和结余2,108.72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1A940201">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总计12,209.08</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其中：本年支出合计9,832.13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结余分配0.00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，年末结转和结余2,376.95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55E34299">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hint="eastAsia" w:ascii="仿宋_GB2312" w:eastAsia="仿宋_GB2312"/>
          <w:sz w:val="32"/>
          <w:szCs w:val="32"/>
          <w:highlight w:val="none"/>
        </w:rPr>
        <w:t>增加2,414.96万元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增长24.66%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追加标本库房建设项目</w:t>
      </w:r>
      <w:r>
        <w:rPr>
          <w:rFonts w:hint="eastAsia" w:ascii="仿宋_GB2312" w:eastAsia="仿宋_GB2312"/>
          <w:sz w:val="32"/>
          <w:szCs w:val="32"/>
          <w:highlight w:val="none"/>
          <w:lang w:val="en-US" w:eastAsia="zh-CN"/>
        </w:rPr>
        <w:t>及安防资金，追加配合基本建设项目资金，使收入支出总体与上年相比有所增加</w:t>
      </w:r>
      <w:r>
        <w:rPr>
          <w:rFonts w:hint="eastAsia" w:ascii="仿宋_GB2312" w:eastAsia="仿宋_GB2312"/>
          <w:sz w:val="32"/>
          <w:szCs w:val="32"/>
          <w:highlight w:val="none"/>
          <w:lang w:eastAsia="zh-CN"/>
        </w:rPr>
        <w:t>。</w:t>
      </w:r>
    </w:p>
    <w:p w14:paraId="0E6D84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6311"/>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14:paraId="1220CF06">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本年收入10,100.36万元，</w:t>
      </w:r>
      <w:r>
        <w:rPr>
          <w:rFonts w:hint="eastAsia" w:ascii="仿宋_GB2312" w:eastAsia="仿宋_GB2312"/>
          <w:sz w:val="32"/>
          <w:szCs w:val="32"/>
          <w:highlight w:val="none"/>
        </w:rPr>
        <w:t>其中：财政拨款收入6,637.9</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65.72</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en-US" w:eastAsia="zh-CN"/>
        </w:rPr>
        <w:t>3,455.10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34.21</w:t>
      </w:r>
      <w:r>
        <w:rPr>
          <w:rFonts w:hint="eastAsia" w:ascii="仿宋_GB2312" w:eastAsia="仿宋_GB2312"/>
          <w:sz w:val="32"/>
          <w:szCs w:val="32"/>
          <w:highlight w:val="none"/>
        </w:rPr>
        <w:t>%；经营收入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7.36</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0.07</w:t>
      </w:r>
      <w:r>
        <w:rPr>
          <w:rFonts w:hint="eastAsia" w:ascii="仿宋_GB2312" w:eastAsia="仿宋_GB2312"/>
          <w:sz w:val="32"/>
          <w:szCs w:val="32"/>
          <w:highlight w:val="none"/>
        </w:rPr>
        <w:t>%。</w:t>
      </w:r>
    </w:p>
    <w:p w14:paraId="5C6263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0629"/>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14:paraId="5BBF1436">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w:t>
      </w:r>
      <w:r>
        <w:rPr>
          <w:rFonts w:hint="eastAsia" w:ascii="仿宋_GB2312" w:eastAsia="仿宋_GB2312"/>
          <w:b/>
          <w:bCs/>
          <w:sz w:val="32"/>
          <w:szCs w:val="32"/>
          <w:highlight w:val="none"/>
          <w:lang w:val="en-US" w:eastAsia="zh-CN"/>
        </w:rPr>
        <w:t>9,832.13</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其中：基本支出</w:t>
      </w:r>
      <w:r>
        <w:rPr>
          <w:rFonts w:hint="eastAsia" w:ascii="仿宋_GB2312" w:eastAsia="仿宋_GB2312"/>
          <w:sz w:val="32"/>
          <w:szCs w:val="32"/>
          <w:highlight w:val="none"/>
          <w:lang w:val="en-US" w:eastAsia="zh-CN"/>
        </w:rPr>
        <w:t>1,405.91</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14.3</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8,426.22</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85.7</w:t>
      </w:r>
      <w:r>
        <w:rPr>
          <w:rFonts w:hint="eastAsia" w:ascii="仿宋_GB2312" w:eastAsia="仿宋_GB2312"/>
          <w:sz w:val="32"/>
          <w:szCs w:val="32"/>
          <w:highlight w:val="none"/>
        </w:rPr>
        <w:t>%；上缴上级支出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%；经营支出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%；对附属单位补助支出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14:paraId="734FCC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7371"/>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14:paraId="20D534B1">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总计6,637.90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本年财政拨款收入6,637.90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总计6,637.90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其中：年末财政拨款结转和结余0.00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本年财政拨款支出6,637.90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14:paraId="7E8F529D">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1,559.87</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30.72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追加标本库房建设项目</w:t>
      </w:r>
      <w:r>
        <w:rPr>
          <w:rFonts w:hint="eastAsia" w:ascii="仿宋_GB2312" w:eastAsia="仿宋_GB2312"/>
          <w:color w:val="auto"/>
          <w:sz w:val="32"/>
          <w:szCs w:val="32"/>
          <w:highlight w:val="none"/>
          <w:lang w:val="en-US" w:eastAsia="zh-CN"/>
        </w:rPr>
        <w:t>及安防资金，使财政拨款增加</w:t>
      </w:r>
      <w:r>
        <w:rPr>
          <w:rFonts w:hint="eastAsia" w:ascii="仿宋_GB2312" w:eastAsia="仿宋_GB2312"/>
          <w:color w:val="auto"/>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hint="eastAsia" w:ascii="仿宋_GB2312" w:eastAsia="仿宋_GB2312"/>
          <w:sz w:val="32"/>
          <w:szCs w:val="32"/>
          <w:highlight w:val="none"/>
          <w:lang w:val="en-US" w:eastAsia="zh-CN"/>
        </w:rPr>
        <w:t>4,009.08</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6,637.90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65.57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追加标本库房建设项目</w:t>
      </w:r>
      <w:r>
        <w:rPr>
          <w:rFonts w:hint="eastAsia" w:ascii="仿宋_GB2312" w:eastAsia="仿宋_GB2312"/>
          <w:color w:val="auto"/>
          <w:sz w:val="32"/>
          <w:szCs w:val="32"/>
          <w:highlight w:val="none"/>
          <w:lang w:val="en-US" w:eastAsia="zh-CN"/>
        </w:rPr>
        <w:t>及安防资金，</w:t>
      </w:r>
      <w:r>
        <w:rPr>
          <w:rFonts w:hint="eastAsia" w:ascii="仿宋_GB2312" w:eastAsia="仿宋_GB2312"/>
          <w:color w:val="auto"/>
          <w:sz w:val="32"/>
          <w:szCs w:val="32"/>
          <w:highlight w:val="none"/>
          <w:lang w:eastAsia="zh-CN"/>
        </w:rPr>
        <w:t>配合基本建设考古发掘收入增加，导致预决算差异大</w:t>
      </w:r>
      <w:r>
        <w:rPr>
          <w:rFonts w:hint="eastAsia" w:ascii="仿宋_GB2312" w:eastAsia="仿宋_GB2312"/>
          <w:color w:val="auto"/>
          <w:sz w:val="32"/>
          <w:szCs w:val="32"/>
          <w:highlight w:val="none"/>
        </w:rPr>
        <w:t>。</w:t>
      </w:r>
    </w:p>
    <w:p w14:paraId="25FA24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8905"/>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14:paraId="123414D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8" w:name="_Toc1165"/>
      <w:r>
        <w:rPr>
          <w:rFonts w:hint="eastAsia" w:ascii="黑体" w:hAnsi="黑体" w:eastAsia="黑体"/>
          <w:sz w:val="32"/>
          <w:szCs w:val="32"/>
          <w:highlight w:val="none"/>
          <w:lang w:eastAsia="zh-CN"/>
        </w:rPr>
        <w:t>（一）一般公共预算财政拨款支出决算总体情况</w:t>
      </w:r>
      <w:bookmarkEnd w:id="18"/>
    </w:p>
    <w:p w14:paraId="501A45EA">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2024年度一般公共预算财政拨款支出6,637.9</w:t>
      </w:r>
      <w:r>
        <w:rPr>
          <w:rFonts w:hint="eastAsia" w:ascii="仿宋_GB2312" w:eastAsia="仿宋_GB2312"/>
          <w:b/>
          <w:bCs/>
          <w:spacing w:val="0"/>
          <w:sz w:val="32"/>
          <w:szCs w:val="32"/>
          <w:highlight w:val="none"/>
          <w:lang w:val="en-US" w:eastAsia="zh-CN"/>
        </w:rPr>
        <w:t>0</w:t>
      </w:r>
      <w:r>
        <w:rPr>
          <w:rFonts w:hint="eastAsia" w:ascii="仿宋_GB2312" w:eastAsia="仿宋_GB2312"/>
          <w:b/>
          <w:bCs/>
          <w:spacing w:val="0"/>
          <w:sz w:val="32"/>
          <w:szCs w:val="32"/>
          <w:highlight w:val="none"/>
          <w:lang w:eastAsia="zh-CN"/>
        </w:rPr>
        <w:t>万元，</w:t>
      </w:r>
      <w:r>
        <w:rPr>
          <w:rFonts w:hint="eastAsia" w:ascii="仿宋_GB2312" w:eastAsia="仿宋_GB2312"/>
          <w:spacing w:val="0"/>
          <w:sz w:val="32"/>
          <w:szCs w:val="32"/>
          <w:highlight w:val="none"/>
          <w:lang w:eastAsia="zh-CN"/>
        </w:rPr>
        <w:t>占本年支出合计的</w:t>
      </w:r>
      <w:r>
        <w:rPr>
          <w:rFonts w:hint="eastAsia" w:ascii="仿宋_GB2312" w:eastAsia="仿宋_GB2312"/>
          <w:spacing w:val="0"/>
          <w:sz w:val="32"/>
          <w:szCs w:val="32"/>
          <w:highlight w:val="none"/>
          <w:lang w:val="en-US" w:eastAsia="zh-CN"/>
        </w:rPr>
        <w:t>67.51</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增加</w:t>
      </w:r>
      <w:r>
        <w:rPr>
          <w:rFonts w:hint="eastAsia" w:ascii="仿宋_GB2312" w:eastAsia="仿宋_GB2312"/>
          <w:spacing w:val="0"/>
          <w:sz w:val="32"/>
          <w:szCs w:val="32"/>
          <w:highlight w:val="none"/>
          <w:lang w:val="en-US" w:eastAsia="zh-CN"/>
        </w:rPr>
        <w:t>1,559.87</w:t>
      </w:r>
      <w:r>
        <w:rPr>
          <w:rFonts w:hint="eastAsia" w:ascii="仿宋_GB2312" w:eastAsia="仿宋_GB2312"/>
          <w:spacing w:val="0"/>
          <w:sz w:val="32"/>
          <w:szCs w:val="32"/>
          <w:highlight w:val="none"/>
        </w:rPr>
        <w:t>万元，增长</w:t>
      </w:r>
      <w:r>
        <w:rPr>
          <w:rFonts w:hint="eastAsia" w:ascii="仿宋_GB2312" w:eastAsia="仿宋_GB2312"/>
          <w:spacing w:val="0"/>
          <w:sz w:val="32"/>
          <w:szCs w:val="32"/>
          <w:highlight w:val="none"/>
          <w:lang w:val="en-US" w:eastAsia="zh-CN"/>
        </w:rPr>
        <w:t>30.72</w:t>
      </w:r>
      <w:r>
        <w:rPr>
          <w:rFonts w:hint="eastAsia" w:ascii="仿宋_GB2312" w:eastAsia="仿宋_GB2312"/>
          <w:spacing w:val="0"/>
          <w:sz w:val="32"/>
          <w:szCs w:val="32"/>
          <w:highlight w:val="none"/>
        </w:rPr>
        <w:t>%</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rPr>
        <w:t>主要原因是：</w:t>
      </w:r>
      <w:r>
        <w:rPr>
          <w:rFonts w:hint="eastAsia" w:ascii="仿宋_GB2312" w:eastAsia="仿宋_GB2312"/>
          <w:color w:val="auto"/>
          <w:sz w:val="32"/>
          <w:szCs w:val="32"/>
          <w:highlight w:val="none"/>
          <w:lang w:eastAsia="zh-CN"/>
        </w:rPr>
        <w:t>追加标本库房建设项目</w:t>
      </w:r>
      <w:r>
        <w:rPr>
          <w:rFonts w:hint="eastAsia" w:ascii="仿宋_GB2312" w:eastAsia="仿宋_GB2312"/>
          <w:color w:val="auto"/>
          <w:sz w:val="32"/>
          <w:szCs w:val="32"/>
          <w:highlight w:val="none"/>
          <w:lang w:val="en-US" w:eastAsia="zh-CN"/>
        </w:rPr>
        <w:t>及安防资金，使财政拨款增加</w:t>
      </w:r>
      <w:r>
        <w:rPr>
          <w:rFonts w:hint="eastAsia" w:ascii="仿宋_GB2312" w:eastAsia="仿宋_GB2312"/>
          <w:color w:val="auto"/>
          <w:spacing w:val="0"/>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w:t>
      </w:r>
      <w:r>
        <w:rPr>
          <w:rFonts w:hint="eastAsia" w:ascii="仿宋_GB2312" w:eastAsia="仿宋_GB2312"/>
          <w:sz w:val="32"/>
          <w:szCs w:val="32"/>
          <w:highlight w:val="none"/>
          <w:lang w:val="en-US" w:eastAsia="zh-CN"/>
        </w:rPr>
        <w:t>4,009.08</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6,637.90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65.57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追加标本库房建设项目</w:t>
      </w:r>
      <w:r>
        <w:rPr>
          <w:rFonts w:hint="eastAsia" w:ascii="仿宋_GB2312" w:eastAsia="仿宋_GB2312"/>
          <w:color w:val="auto"/>
          <w:sz w:val="32"/>
          <w:szCs w:val="32"/>
          <w:highlight w:val="none"/>
          <w:lang w:val="en-US" w:eastAsia="zh-CN"/>
        </w:rPr>
        <w:t>及安防资金，</w:t>
      </w:r>
      <w:r>
        <w:rPr>
          <w:rFonts w:hint="eastAsia" w:ascii="仿宋_GB2312" w:eastAsia="仿宋_GB2312"/>
          <w:color w:val="auto"/>
          <w:sz w:val="32"/>
          <w:szCs w:val="32"/>
          <w:highlight w:val="none"/>
          <w:lang w:eastAsia="zh-CN"/>
        </w:rPr>
        <w:t>配合基本建设考古发掘收入增加，导致预决算差异大</w:t>
      </w:r>
      <w:r>
        <w:rPr>
          <w:rFonts w:hint="eastAsia" w:ascii="仿宋_GB2312" w:eastAsia="仿宋_GB2312"/>
          <w:color w:val="auto"/>
          <w:sz w:val="32"/>
          <w:szCs w:val="32"/>
          <w:highlight w:val="none"/>
        </w:rPr>
        <w:t>。</w:t>
      </w:r>
    </w:p>
    <w:p w14:paraId="5F171EB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9" w:name="_Toc27147"/>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14:paraId="25AD1AC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文化旅游体育与传媒支出（类）6,607.90万元，占99.55%</w:t>
      </w:r>
      <w:r>
        <w:rPr>
          <w:rFonts w:hint="eastAsia" w:ascii="仿宋_GB2312" w:hAnsi="仿宋_GB2312" w:eastAsia="仿宋_GB2312" w:cs="仿宋_GB2312"/>
          <w:kern w:val="0"/>
          <w:sz w:val="32"/>
          <w:szCs w:val="32"/>
          <w:highlight w:val="none"/>
        </w:rPr>
        <w:t>。</w:t>
      </w:r>
    </w:p>
    <w:p w14:paraId="0771C82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val="en-US" w:eastAsia="zh-CN"/>
        </w:rPr>
        <w:t>社会保障和就业支出（类）30.00万元，占0.45%。</w:t>
      </w:r>
    </w:p>
    <w:p w14:paraId="62A48E2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eastAsia="仿宋_GB2312"/>
          <w:b/>
          <w:bCs/>
          <w:sz w:val="32"/>
          <w:szCs w:val="32"/>
          <w:highlight w:val="none"/>
          <w:lang w:eastAsia="zh-CN"/>
        </w:rPr>
      </w:pPr>
      <w:bookmarkStart w:id="20" w:name="_Toc10037"/>
      <w:r>
        <w:rPr>
          <w:rFonts w:hint="eastAsia" w:ascii="黑体" w:hAnsi="黑体" w:eastAsia="黑体"/>
          <w:sz w:val="32"/>
          <w:szCs w:val="32"/>
          <w:highlight w:val="none"/>
          <w:lang w:eastAsia="zh-CN"/>
        </w:rPr>
        <w:t>（三）一般公共预算财政拨款支出决算具体情况</w:t>
      </w:r>
      <w:bookmarkEnd w:id="20"/>
    </w:p>
    <w:p w14:paraId="059853D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1.文化旅游体育与传媒支出（类）文化和旅游（款）其他文化和旅游支出（项）：支出决算数为67.10万元，比上年决算增加46.44万元，增长224.78%，主要原因是：</w:t>
      </w:r>
      <w:r>
        <w:rPr>
          <w:rFonts w:hint="eastAsia" w:ascii="仿宋_GB2312" w:hAnsi="仿宋_GB2312" w:eastAsia="仿宋_GB2312" w:cs="仿宋_GB2312"/>
          <w:color w:val="auto"/>
          <w:kern w:val="0"/>
          <w:sz w:val="32"/>
          <w:szCs w:val="32"/>
          <w:highlight w:val="none"/>
          <w:lang w:val="en-US" w:eastAsia="zh-CN"/>
        </w:rPr>
        <w:t>追加天山英才计划项目，追加智力援疆小组团人才计划经费。</w:t>
      </w:r>
    </w:p>
    <w:p w14:paraId="1BF2FB4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FF0000"/>
          <w:kern w:val="0"/>
          <w:sz w:val="32"/>
          <w:szCs w:val="32"/>
          <w:highlight w:val="none"/>
        </w:rPr>
      </w:pPr>
      <w:r>
        <w:rPr>
          <w:rFonts w:hint="eastAsia" w:ascii="仿宋_GB2312" w:hAnsi="仿宋_GB2312" w:eastAsia="仿宋_GB2312" w:cs="仿宋_GB2312"/>
          <w:kern w:val="0"/>
          <w:sz w:val="32"/>
          <w:szCs w:val="32"/>
          <w:highlight w:val="none"/>
          <w:lang w:val="en-US" w:eastAsia="zh-CN"/>
        </w:rPr>
        <w:t>2.文化旅游体育与传媒支出（类）文物（款）文物保护（项）：支出决算数为6,540.79万元，比上年决算增加2,083.42万元，增长46.74%，主要原因是</w:t>
      </w:r>
      <w:r>
        <w:rPr>
          <w:rFonts w:hint="eastAsia" w:ascii="仿宋_GB2312" w:hAnsi="仿宋_GB2312" w:eastAsia="仿宋_GB2312" w:cs="仿宋_GB2312"/>
          <w:color w:val="auto"/>
          <w:kern w:val="0"/>
          <w:sz w:val="32"/>
          <w:szCs w:val="32"/>
          <w:highlight w:val="none"/>
          <w:lang w:val="en-US" w:eastAsia="zh-CN"/>
        </w:rPr>
        <w:t>：追加考古标本库房建设项目，追加自治区文物保护经费。</w:t>
      </w:r>
    </w:p>
    <w:p w14:paraId="723E19D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color w:val="FF0000"/>
          <w:kern w:val="0"/>
          <w:sz w:val="32"/>
          <w:szCs w:val="32"/>
          <w:highlight w:val="none"/>
          <w:lang w:val="en-US"/>
        </w:rPr>
      </w:pPr>
      <w:r>
        <w:rPr>
          <w:rFonts w:hint="eastAsia" w:ascii="仿宋_GB2312" w:hAnsi="仿宋_GB2312" w:eastAsia="仿宋_GB2312" w:cs="仿宋_GB2312"/>
          <w:kern w:val="0"/>
          <w:sz w:val="32"/>
          <w:szCs w:val="32"/>
          <w:highlight w:val="none"/>
          <w:lang w:val="en-US" w:eastAsia="zh-CN"/>
        </w:rPr>
        <w:t>3.文化旅游体育与传媒支出（类）文物（款）其他文物支出（项）：支出决算数为0.00万元，比上年决算减少600.00万元，下降100.00%，主要原因是：</w:t>
      </w:r>
      <w:r>
        <w:rPr>
          <w:rFonts w:hint="eastAsia" w:ascii="仿宋_GB2312" w:hAnsi="仿宋_GB2312" w:eastAsia="仿宋_GB2312" w:cs="仿宋_GB2312"/>
          <w:color w:val="auto"/>
          <w:kern w:val="0"/>
          <w:sz w:val="32"/>
          <w:szCs w:val="32"/>
          <w:highlight w:val="none"/>
          <w:lang w:val="en-US" w:eastAsia="zh-CN"/>
        </w:rPr>
        <w:t>我单位2024年无上年结转考古标本库房建设项目专项经费。</w:t>
      </w:r>
    </w:p>
    <w:p w14:paraId="1D67B26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eastAsia="仿宋_GB2312"/>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社会保障和就业支出（类）人力资源和社会保障管理事务（款）其他人力资源和社会保障管理事务支出（项）：支出决算数为30.00万元，比上年决算增加30.00万元，增长100.00%，主要原因是：追加2024年天池英才引进计划经费。</w:t>
      </w:r>
    </w:p>
    <w:p w14:paraId="75E4E9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宋体" w:eastAsia="仿宋_GB2312" w:cs="宋体"/>
          <w:b/>
          <w:bCs/>
          <w:kern w:val="0"/>
          <w:sz w:val="32"/>
          <w:szCs w:val="32"/>
          <w:highlight w:val="none"/>
        </w:rPr>
      </w:pPr>
      <w:bookmarkStart w:id="21" w:name="_Toc23415"/>
      <w:bookmarkStart w:id="22" w:name="_Toc11146"/>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14:paraId="515A40C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val="en-US" w:eastAsia="zh-CN"/>
        </w:rPr>
        <w:t>1,402.14</w:t>
      </w:r>
      <w:r>
        <w:rPr>
          <w:rFonts w:hint="eastAsia" w:ascii="仿宋_GB2312" w:eastAsia="仿宋_GB2312"/>
          <w:sz w:val="32"/>
          <w:szCs w:val="32"/>
          <w:highlight w:val="none"/>
        </w:rPr>
        <w:t>万元，其中：</w:t>
      </w:r>
      <w:r>
        <w:rPr>
          <w:rFonts w:hint="eastAsia" w:ascii="仿宋_GB2312" w:eastAsia="仿宋_GB2312"/>
          <w:b/>
          <w:bCs/>
          <w:sz w:val="32"/>
          <w:szCs w:val="32"/>
          <w:highlight w:val="none"/>
        </w:rPr>
        <w:t>人员经费</w:t>
      </w:r>
      <w:r>
        <w:rPr>
          <w:rFonts w:hint="eastAsia" w:ascii="仿宋_GB2312" w:eastAsia="仿宋_GB2312"/>
          <w:b/>
          <w:bCs/>
          <w:sz w:val="32"/>
          <w:szCs w:val="32"/>
          <w:highlight w:val="none"/>
          <w:lang w:val="en-US" w:eastAsia="zh-CN"/>
        </w:rPr>
        <w:t>1,253.62</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、退休费、其他对个人和家庭的补助。</w:t>
      </w:r>
    </w:p>
    <w:p w14:paraId="7992619B">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w:t>
      </w:r>
      <w:r>
        <w:rPr>
          <w:rFonts w:hint="eastAsia" w:ascii="仿宋_GB2312" w:eastAsia="仿宋_GB2312"/>
          <w:b/>
          <w:bCs/>
          <w:sz w:val="32"/>
          <w:szCs w:val="32"/>
          <w:highlight w:val="none"/>
          <w:lang w:val="en-US" w:eastAsia="zh-CN"/>
        </w:rPr>
        <w:t>148.52</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物业管理费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租赁费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税金及附加费用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14:paraId="75F2B7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7927"/>
      <w:bookmarkStart w:id="24" w:name="_Toc7523"/>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14:paraId="0E264F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14:paraId="1B85C7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5563"/>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14:paraId="3062D8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14:paraId="5E4B2D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6" w:name="_Toc7190"/>
      <w:bookmarkStart w:id="27" w:name="_Toc9161"/>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14:paraId="097397C7">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w:t>
      </w:r>
      <w:r>
        <w:rPr>
          <w:rFonts w:hint="eastAsia" w:ascii="仿宋_GB2312" w:eastAsia="仿宋_GB2312"/>
          <w:b/>
          <w:bCs/>
          <w:sz w:val="32"/>
          <w:szCs w:val="32"/>
          <w:highlight w:val="none"/>
          <w:lang w:val="en-US" w:eastAsia="zh-CN"/>
        </w:rPr>
        <w:t>1.60</w:t>
      </w:r>
      <w:r>
        <w:rPr>
          <w:rFonts w:hint="eastAsia" w:ascii="仿宋_GB2312" w:eastAsia="仿宋_GB2312"/>
          <w:b/>
          <w:bCs/>
          <w:sz w:val="32"/>
          <w:szCs w:val="32"/>
          <w:highlight w:val="none"/>
        </w:rPr>
        <w:t>万元，</w:t>
      </w:r>
      <w:r>
        <w:rPr>
          <w:rFonts w:hint="eastAsia" w:ascii="仿宋_GB2312" w:eastAsia="仿宋_GB2312"/>
          <w:b w:val="0"/>
          <w:bCs w:val="0"/>
          <w:sz w:val="32"/>
          <w:szCs w:val="32"/>
          <w:highlight w:val="none"/>
          <w:lang w:val="en-US" w:eastAsia="zh-CN"/>
        </w:rPr>
        <w:t>比上年增加0.00万元，增长0.00%，</w:t>
      </w:r>
      <w:r>
        <w:rPr>
          <w:rFonts w:hint="eastAsia" w:ascii="仿宋_GB2312" w:eastAsia="仿宋_GB2312"/>
          <w:sz w:val="32"/>
          <w:szCs w:val="32"/>
          <w:highlight w:val="none"/>
          <w:lang w:eastAsia="zh-CN"/>
        </w:rPr>
        <w:t>主要原因是：本年度公务用车保有量无变化</w:t>
      </w:r>
      <w:r>
        <w:rPr>
          <w:rFonts w:hint="eastAsia" w:ascii="仿宋_GB2312" w:eastAsia="仿宋_GB2312"/>
          <w:sz w:val="32"/>
          <w:szCs w:val="32"/>
          <w:highlight w:val="none"/>
          <w:lang w:val="en-US" w:eastAsia="zh-CN"/>
        </w:rPr>
        <w:t>，因此</w:t>
      </w:r>
      <w:r>
        <w:rPr>
          <w:rFonts w:hint="eastAsia" w:ascii="仿宋_GB2312" w:eastAsia="仿宋_GB2312"/>
          <w:sz w:val="32"/>
          <w:szCs w:val="32"/>
          <w:highlight w:val="none"/>
        </w:rPr>
        <w:t>公务用车购置及运行维护费支出</w:t>
      </w:r>
      <w:r>
        <w:rPr>
          <w:rFonts w:hint="eastAsia" w:ascii="仿宋_GB2312" w:eastAsia="仿宋_GB2312"/>
          <w:sz w:val="32"/>
          <w:szCs w:val="32"/>
          <w:highlight w:val="none"/>
          <w:lang w:val="en-US" w:eastAsia="zh-CN"/>
        </w:rPr>
        <w:t>无变化</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主要原因是：本年度无</w:t>
      </w:r>
      <w:r>
        <w:rPr>
          <w:rFonts w:hint="eastAsia" w:ascii="仿宋_GB2312" w:eastAsia="仿宋_GB2312"/>
          <w:sz w:val="32"/>
          <w:szCs w:val="32"/>
          <w:highlight w:val="none"/>
        </w:rPr>
        <w:t>因公出国（境）</w:t>
      </w:r>
      <w:r>
        <w:rPr>
          <w:rFonts w:hint="eastAsia" w:ascii="仿宋_GB2312" w:eastAsia="仿宋_GB2312"/>
          <w:sz w:val="32"/>
          <w:szCs w:val="32"/>
          <w:highlight w:val="none"/>
          <w:lang w:eastAsia="zh-CN"/>
        </w:rPr>
        <w:t>，因此未产生相关</w:t>
      </w:r>
      <w:r>
        <w:rPr>
          <w:rFonts w:hint="eastAsia" w:ascii="仿宋_GB2312" w:eastAsia="仿宋_GB2312"/>
          <w:sz w:val="32"/>
          <w:szCs w:val="32"/>
          <w:highlight w:val="none"/>
        </w:rPr>
        <w:t>支出；公务用车购置及运行维护费支出</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主要原因是：本年度公务用车保有量无变化</w:t>
      </w:r>
      <w:r>
        <w:rPr>
          <w:rFonts w:hint="eastAsia" w:ascii="仿宋_GB2312" w:eastAsia="仿宋_GB2312"/>
          <w:sz w:val="32"/>
          <w:szCs w:val="32"/>
          <w:highlight w:val="none"/>
          <w:lang w:val="en-US" w:eastAsia="zh-CN"/>
        </w:rPr>
        <w:t>，因此</w:t>
      </w:r>
      <w:r>
        <w:rPr>
          <w:rFonts w:hint="eastAsia" w:ascii="仿宋_GB2312" w:eastAsia="仿宋_GB2312"/>
          <w:sz w:val="32"/>
          <w:szCs w:val="32"/>
          <w:highlight w:val="none"/>
        </w:rPr>
        <w:t>公务用车购置及运行维护费支出</w:t>
      </w:r>
      <w:r>
        <w:rPr>
          <w:rFonts w:hint="eastAsia" w:ascii="仿宋_GB2312" w:eastAsia="仿宋_GB2312"/>
          <w:sz w:val="32"/>
          <w:szCs w:val="32"/>
          <w:highlight w:val="none"/>
          <w:lang w:val="en-US" w:eastAsia="zh-CN"/>
        </w:rPr>
        <w:t>无变化</w:t>
      </w:r>
      <w:r>
        <w:rPr>
          <w:rFonts w:hint="eastAsia" w:ascii="仿宋_GB2312" w:eastAsia="仿宋_GB2312"/>
          <w:sz w:val="32"/>
          <w:szCs w:val="32"/>
          <w:highlight w:val="none"/>
        </w:rPr>
        <w:t>；公务接待费支出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本年度无公务接待，因此未产生相关支出</w:t>
      </w:r>
      <w:r>
        <w:rPr>
          <w:rFonts w:hint="eastAsia" w:ascii="仿宋_GB2312" w:eastAsia="仿宋_GB2312"/>
          <w:color w:val="auto"/>
          <w:sz w:val="32"/>
          <w:szCs w:val="32"/>
          <w:highlight w:val="none"/>
        </w:rPr>
        <w:t>。</w:t>
      </w:r>
    </w:p>
    <w:p w14:paraId="13074683">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14:paraId="55BD353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rPr>
        <w:t>因公出国（境）费支出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我单位</w:t>
      </w:r>
      <w:r>
        <w:rPr>
          <w:rFonts w:hint="eastAsia" w:ascii="仿宋_GB2312" w:eastAsia="仿宋_GB2312"/>
          <w:color w:val="auto"/>
          <w:sz w:val="32"/>
          <w:szCs w:val="32"/>
          <w:highlight w:val="none"/>
          <w:lang w:val="en-US" w:eastAsia="zh-CN"/>
        </w:rPr>
        <w:t>2024年无</w:t>
      </w:r>
      <w:r>
        <w:rPr>
          <w:rFonts w:hint="eastAsia" w:ascii="仿宋_GB2312" w:eastAsia="仿宋_GB2312"/>
          <w:sz w:val="32"/>
          <w:szCs w:val="32"/>
          <w:highlight w:val="none"/>
        </w:rPr>
        <w:t>因公出国（境）费。单位全年安排的因公出国（境）团组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14:paraId="41C4B21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万元。公务用车运行维护费开支</w:t>
      </w:r>
      <w:r>
        <w:rPr>
          <w:rFonts w:hint="eastAsia" w:ascii="仿宋_GB2312" w:eastAsia="仿宋_GB2312"/>
          <w:color w:val="auto"/>
          <w:sz w:val="32"/>
          <w:szCs w:val="32"/>
          <w:highlight w:val="none"/>
        </w:rPr>
        <w:t>内容包括</w:t>
      </w:r>
      <w:r>
        <w:rPr>
          <w:rFonts w:hint="eastAsia" w:ascii="仿宋_GB2312" w:eastAsia="仿宋_GB2312"/>
          <w:color w:val="auto"/>
          <w:sz w:val="32"/>
          <w:szCs w:val="32"/>
          <w:highlight w:val="none"/>
          <w:lang w:eastAsia="zh-CN"/>
        </w:rPr>
        <w:t>车辆维修费、年审费、保险费、停车费、汽油费</w:t>
      </w:r>
      <w:r>
        <w:rPr>
          <w:rFonts w:hint="eastAsia" w:ascii="仿宋_GB2312" w:eastAsia="仿宋_GB2312"/>
          <w:color w:val="auto"/>
          <w:sz w:val="32"/>
          <w:szCs w:val="32"/>
          <w:highlight w:val="none"/>
        </w:rPr>
        <w:t>。</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中固定资产车辆4</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w:t>
      </w:r>
      <w:r>
        <w:rPr>
          <w:rFonts w:hint="eastAsia" w:ascii="仿宋_GB2312" w:eastAsia="仿宋_GB2312"/>
          <w:color w:val="auto"/>
          <w:sz w:val="32"/>
          <w:szCs w:val="32"/>
          <w:highlight w:val="none"/>
          <w:lang w:eastAsia="zh-CN"/>
        </w:rPr>
        <w:t>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数量一致无差异</w:t>
      </w:r>
      <w:r>
        <w:rPr>
          <w:rFonts w:hint="eastAsia" w:ascii="仿宋_GB2312" w:eastAsia="仿宋_GB2312"/>
          <w:sz w:val="32"/>
          <w:szCs w:val="32"/>
          <w:highlight w:val="none"/>
        </w:rPr>
        <w:t>。</w:t>
      </w:r>
    </w:p>
    <w:p w14:paraId="4E0FD1F7">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万元，开支内容包括</w:t>
      </w:r>
      <w:r>
        <w:rPr>
          <w:rFonts w:hint="eastAsia" w:ascii="仿宋_GB2312" w:eastAsia="仿宋_GB2312"/>
          <w:color w:val="auto"/>
          <w:sz w:val="32"/>
          <w:szCs w:val="32"/>
          <w:highlight w:val="none"/>
          <w:lang w:eastAsia="zh-CN"/>
        </w:rPr>
        <w:t>我单位</w:t>
      </w:r>
      <w:r>
        <w:rPr>
          <w:rFonts w:hint="eastAsia" w:ascii="仿宋_GB2312" w:eastAsia="仿宋_GB2312"/>
          <w:color w:val="auto"/>
          <w:sz w:val="32"/>
          <w:szCs w:val="32"/>
          <w:highlight w:val="none"/>
          <w:lang w:val="en-US" w:eastAsia="zh-CN"/>
        </w:rPr>
        <w:t>2024年无公务接待费</w:t>
      </w:r>
      <w:r>
        <w:rPr>
          <w:rFonts w:hint="eastAsia" w:ascii="仿宋_GB2312" w:eastAsia="仿宋_GB2312"/>
          <w:color w:val="auto"/>
          <w:sz w:val="32"/>
          <w:szCs w:val="32"/>
          <w:highlight w:val="none"/>
        </w:rPr>
        <w:t>。单位全年安排的国内公务接</w:t>
      </w:r>
      <w:r>
        <w:rPr>
          <w:rFonts w:hint="eastAsia" w:ascii="仿宋_GB2312" w:eastAsia="仿宋_GB2312"/>
          <w:sz w:val="32"/>
          <w:szCs w:val="32"/>
          <w:highlight w:val="none"/>
        </w:rPr>
        <w:t>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14:paraId="275903FF">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：严格按照预算拨付金额控制支出</w:t>
      </w:r>
      <w:r>
        <w:rPr>
          <w:rFonts w:hint="eastAsia" w:ascii="仿宋_GB2312" w:eastAsia="仿宋_GB2312"/>
          <w:color w:val="auto"/>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：我单位</w:t>
      </w:r>
      <w:r>
        <w:rPr>
          <w:rFonts w:hint="eastAsia" w:ascii="仿宋_GB2312" w:eastAsia="仿宋_GB2312"/>
          <w:color w:val="auto"/>
          <w:sz w:val="32"/>
          <w:szCs w:val="32"/>
          <w:highlight w:val="none"/>
          <w:lang w:val="en-US" w:eastAsia="zh-CN"/>
        </w:rPr>
        <w:t>2024年无</w:t>
      </w:r>
      <w:r>
        <w:rPr>
          <w:rFonts w:hint="eastAsia" w:ascii="仿宋_GB2312" w:eastAsia="仿宋_GB2312"/>
          <w:sz w:val="32"/>
          <w:szCs w:val="32"/>
          <w:highlight w:val="none"/>
        </w:rPr>
        <w:t>因公出国（境）费；</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我单位</w:t>
      </w:r>
      <w:r>
        <w:rPr>
          <w:rFonts w:hint="eastAsia" w:ascii="仿宋_GB2312" w:eastAsia="仿宋_GB2312"/>
          <w:color w:val="auto"/>
          <w:sz w:val="32"/>
          <w:szCs w:val="32"/>
          <w:highlight w:val="none"/>
          <w:lang w:val="en-US" w:eastAsia="zh-CN"/>
        </w:rPr>
        <w:t>2024年未发生公务车购置</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1.60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hAnsi="宋体" w:eastAsia="仿宋_GB2312" w:cs="宋体"/>
          <w:kern w:val="0"/>
          <w:sz w:val="32"/>
          <w:szCs w:val="32"/>
          <w:highlight w:val="none"/>
          <w:lang w:val="en-US" w:eastAsia="zh-CN"/>
        </w:rPr>
        <w:t>严格按照预算拨付金额控制支</w:t>
      </w:r>
      <w:r>
        <w:rPr>
          <w:rFonts w:hint="eastAsia" w:ascii="仿宋_GB2312" w:eastAsia="仿宋_GB2312"/>
          <w:color w:val="auto"/>
          <w:sz w:val="32"/>
          <w:szCs w:val="32"/>
          <w:highlight w:val="none"/>
          <w:lang w:eastAsia="zh-CN"/>
        </w:rPr>
        <w:t>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我单位</w:t>
      </w:r>
      <w:r>
        <w:rPr>
          <w:rFonts w:hint="eastAsia" w:ascii="仿宋_GB2312" w:eastAsia="仿宋_GB2312"/>
          <w:color w:val="auto"/>
          <w:sz w:val="32"/>
          <w:szCs w:val="32"/>
          <w:highlight w:val="none"/>
          <w:lang w:val="en-US" w:eastAsia="zh-CN"/>
        </w:rPr>
        <w:t>2024年无公务接待</w:t>
      </w:r>
      <w:r>
        <w:rPr>
          <w:rFonts w:hint="eastAsia" w:ascii="仿宋_GB2312" w:eastAsia="仿宋_GB2312"/>
          <w:sz w:val="32"/>
          <w:szCs w:val="32"/>
          <w:highlight w:val="none"/>
        </w:rPr>
        <w:t>。</w:t>
      </w:r>
    </w:p>
    <w:p w14:paraId="03787C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7314"/>
      <w:bookmarkStart w:id="29" w:name="_Toc1639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14:paraId="5A3B155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30" w:name="_Toc21748"/>
      <w:bookmarkStart w:id="31"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14:paraId="6747DAA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lang w:eastAsia="zh-CN"/>
        </w:rPr>
        <w:t>单位公用经费</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148.52</w:t>
      </w:r>
      <w:r>
        <w:rPr>
          <w:rFonts w:hint="eastAsia" w:ascii="仿宋_GB2312" w:eastAsia="仿宋_GB2312"/>
          <w:sz w:val="32"/>
          <w:szCs w:val="32"/>
          <w:highlight w:val="none"/>
        </w:rPr>
        <w:t>万元，比上年增加</w:t>
      </w:r>
      <w:r>
        <w:rPr>
          <w:rFonts w:hint="eastAsia" w:ascii="仿宋_GB2312" w:eastAsia="仿宋_GB2312"/>
          <w:sz w:val="32"/>
          <w:szCs w:val="32"/>
          <w:highlight w:val="none"/>
          <w:lang w:val="en-US" w:eastAsia="zh-CN"/>
        </w:rPr>
        <w:t>65.25</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78.36</w:t>
      </w:r>
      <w:r>
        <w:rPr>
          <w:rFonts w:hint="eastAsia" w:ascii="仿宋_GB2312" w:eastAsia="仿宋_GB2312"/>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：人员支出增大导致相关公用经费支出增大</w:t>
      </w:r>
      <w:r>
        <w:rPr>
          <w:rFonts w:hint="eastAsia" w:ascii="仿宋_GB2312" w:eastAsia="仿宋_GB2312"/>
          <w:color w:val="auto"/>
          <w:sz w:val="32"/>
          <w:szCs w:val="32"/>
          <w:highlight w:val="none"/>
        </w:rPr>
        <w:t>。</w:t>
      </w:r>
    </w:p>
    <w:p w14:paraId="4491291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2" w:name="_Toc26704"/>
      <w:bookmarkStart w:id="33" w:name="_Toc25177"/>
      <w:r>
        <w:rPr>
          <w:rFonts w:hint="eastAsia" w:ascii="黑体" w:hAnsi="黑体" w:eastAsia="黑体"/>
          <w:sz w:val="32"/>
          <w:szCs w:val="32"/>
          <w:highlight w:val="none"/>
          <w:lang w:eastAsia="zh-CN"/>
        </w:rPr>
        <w:t>（二）政府采购情况</w:t>
      </w:r>
      <w:bookmarkEnd w:id="32"/>
      <w:bookmarkEnd w:id="33"/>
    </w:p>
    <w:p w14:paraId="577881F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政府采购支出总额</w:t>
      </w:r>
      <w:r>
        <w:rPr>
          <w:rFonts w:hint="eastAsia" w:ascii="仿宋_GB2312" w:eastAsia="仿宋_GB2312"/>
          <w:sz w:val="32"/>
          <w:szCs w:val="32"/>
          <w:highlight w:val="none"/>
          <w:lang w:val="en-US" w:eastAsia="zh-CN"/>
        </w:rPr>
        <w:t>1,383.90</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186.40</w:t>
      </w:r>
      <w:r>
        <w:rPr>
          <w:rFonts w:hint="eastAsia" w:ascii="仿宋_GB2312" w:eastAsia="仿宋_GB2312"/>
          <w:sz w:val="32"/>
          <w:szCs w:val="32"/>
          <w:highlight w:val="none"/>
        </w:rPr>
        <w:t>万元、政府采购工程支出298.03万元、政府采购服务支出</w:t>
      </w:r>
      <w:r>
        <w:rPr>
          <w:rFonts w:hint="eastAsia" w:ascii="仿宋_GB2312" w:eastAsia="仿宋_GB2312"/>
          <w:sz w:val="32"/>
          <w:szCs w:val="32"/>
          <w:highlight w:val="none"/>
          <w:lang w:val="en-US" w:eastAsia="zh-CN"/>
        </w:rPr>
        <w:t>899.47</w:t>
      </w:r>
      <w:r>
        <w:rPr>
          <w:rFonts w:hint="eastAsia" w:ascii="仿宋_GB2312" w:eastAsia="仿宋_GB2312"/>
          <w:sz w:val="32"/>
          <w:szCs w:val="32"/>
          <w:highlight w:val="none"/>
        </w:rPr>
        <w:t>万元。</w:t>
      </w:r>
    </w:p>
    <w:p w14:paraId="3DB0118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1,311.68</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94.78%</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1,119.93</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80.93%。</w:t>
      </w:r>
    </w:p>
    <w:p w14:paraId="11C8A3C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4" w:name="_Toc4591"/>
      <w:bookmarkStart w:id="35" w:name="_Toc31294"/>
      <w:r>
        <w:rPr>
          <w:rFonts w:hint="eastAsia" w:ascii="黑体" w:hAnsi="黑体" w:eastAsia="黑体"/>
          <w:sz w:val="32"/>
          <w:szCs w:val="32"/>
          <w:highlight w:val="none"/>
          <w:lang w:eastAsia="zh-CN"/>
        </w:rPr>
        <w:t>（三）国有资产占用情况说明</w:t>
      </w:r>
      <w:bookmarkEnd w:id="34"/>
      <w:bookmarkEnd w:id="35"/>
    </w:p>
    <w:p w14:paraId="317D57FA">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2024</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lang w:val="en-US" w:eastAsia="zh-CN"/>
        </w:rPr>
        <w:t>房</w:t>
      </w:r>
      <w:r>
        <w:rPr>
          <w:rFonts w:hint="eastAsia" w:ascii="仿宋_GB2312" w:eastAsia="仿宋_GB2312"/>
          <w:sz w:val="32"/>
          <w:szCs w:val="32"/>
          <w:highlight w:val="none"/>
        </w:rPr>
        <w:t>屋</w:t>
      </w:r>
      <w:r>
        <w:rPr>
          <w:rFonts w:hint="eastAsia" w:ascii="仿宋_GB2312" w:eastAsia="仿宋_GB2312"/>
          <w:sz w:val="32"/>
          <w:szCs w:val="32"/>
          <w:highlight w:val="none"/>
          <w:lang w:val="en-US" w:eastAsia="zh-CN"/>
        </w:rPr>
        <w:t>15,424.82</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633.27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158.94</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辆，其他用车主要是：</w:t>
      </w:r>
      <w:r>
        <w:rPr>
          <w:rFonts w:hint="eastAsia" w:ascii="仿宋_GB2312" w:eastAsia="仿宋_GB2312"/>
          <w:color w:val="auto"/>
          <w:sz w:val="32"/>
          <w:szCs w:val="32"/>
          <w:highlight w:val="none"/>
          <w:lang w:eastAsia="zh-CN"/>
        </w:rPr>
        <w:t>保障我单位工作正常运转的一般公务用车</w:t>
      </w:r>
      <w:r>
        <w:rPr>
          <w:rFonts w:hint="eastAsia" w:ascii="仿宋_GB2312" w:eastAsia="仿宋_GB2312"/>
          <w:color w:val="auto"/>
          <w:sz w:val="32"/>
          <w:szCs w:val="32"/>
          <w:highlight w:val="none"/>
        </w:rPr>
        <w:t>；单价100万元（含</w:t>
      </w:r>
      <w:r>
        <w:rPr>
          <w:rFonts w:hint="eastAsia" w:ascii="仿宋_GB2312" w:eastAsia="仿宋_GB2312"/>
          <w:sz w:val="32"/>
          <w:szCs w:val="32"/>
          <w:highlight w:val="none"/>
        </w:rPr>
        <w:t>）以上设备（不含车辆）</w:t>
      </w:r>
      <w:r>
        <w:rPr>
          <w:rFonts w:hint="eastAsia" w:ascii="仿宋_GB2312" w:eastAsia="仿宋_GB2312"/>
          <w:sz w:val="32"/>
          <w:szCs w:val="32"/>
          <w:highlight w:val="none"/>
          <w:lang w:val="en-US" w:eastAsia="zh-CN"/>
        </w:rPr>
        <w:t>0台（</w:t>
      </w:r>
      <w:r>
        <w:rPr>
          <w:rFonts w:hint="eastAsia" w:ascii="仿宋_GB2312" w:eastAsia="仿宋_GB2312"/>
          <w:sz w:val="32"/>
          <w:szCs w:val="32"/>
          <w:highlight w:val="none"/>
        </w:rPr>
        <w:t>套）。</w:t>
      </w:r>
    </w:p>
    <w:p w14:paraId="04C35F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6" w:name="_Toc435"/>
      <w:bookmarkStart w:id="37" w:name="_Toc1766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14:paraId="428D002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lang w:val="en-US" w:eastAsia="zh-CN"/>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全年预算数3,879.73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全年执行数3,879.73</w:t>
      </w:r>
      <w:bookmarkStart w:id="59" w:name="_GoBack"/>
      <w:bookmarkEnd w:id="59"/>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一是2024年本单位承担的全疆考古调查、勘探和发掘，对出土文物进行修复保护，针对考古发掘资料进行了整理和历史研究，对考古成果进行阐释利用，做好公众服务，开展宣传展示,达到了保障基础建设工程所涉及的文物延续保护，积极推进文物保护和修复、文化遗产保护的效果；二是配合大型基本建设工程如高速公路工程，机场建设，水利枢纽工程等，在工程范围内有可能埋藏地方进行考古调查，勘探，考古发掘。考古调查，勘探，发掘中发现文物的，遵循既有利于文物保护，又有利于基本建设的原则，进行抢救发掘和保护措施，达到保障基础建设工程所涉及的文物延续保护，积极推进文物保护和修复、文化遗产保护的效果。发现的问题及原因：一是绩效管理制度还不完善，应更加严格执行绩效管理制度，纳入日常工作管理；二是在绩效目标编制方面，针对绩效目标设置指向不清、预算和目标匹配不足，数量目标和质量目标量化不细。下一步改进措施：一是加强相关专业技术人员的业务培训，进一步提高预算绩效评价管理；二是做好重点项目管理工作。</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w:t>
      </w:r>
    </w:p>
    <w:p w14:paraId="39D402E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0BB419E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54D2D2B">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仿宋_GB2312" w:eastAsia="仿宋_GB2312" w:cs="仿宋_GB2312"/>
          <w:b/>
          <w:bCs/>
          <w:color w:val="auto"/>
          <w:kern w:val="0"/>
          <w:sz w:val="32"/>
          <w:szCs w:val="32"/>
          <w:highlight w:val="none"/>
          <w:lang w:val="en-US" w:eastAsia="zh-CN"/>
        </w:rPr>
      </w:pPr>
    </w:p>
    <w:p w14:paraId="5C7B7E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8" w:name="_Toc24143"/>
      <w:r>
        <w:rPr>
          <w:rFonts w:hint="eastAsia" w:ascii="黑体" w:hAnsi="黑体" w:eastAsia="黑体"/>
          <w:sz w:val="32"/>
          <w:szCs w:val="32"/>
          <w:highlight w:val="none"/>
        </w:rPr>
        <w:br w:type="page"/>
      </w:r>
      <w:bookmarkStart w:id="39" w:name="_Toc3003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8"/>
      <w:bookmarkEnd w:id="39"/>
    </w:p>
    <w:p w14:paraId="7DC6BA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14:paraId="599A1B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14:paraId="7498533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14:paraId="6BF8B4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14:paraId="11116A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14:paraId="14BC17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14:paraId="2D3CFDA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E00D5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92186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14:paraId="6FB8666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14:paraId="1C6EC0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14:paraId="6431B7F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14:paraId="653553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14:paraId="3A812770">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14:paraId="45B5E0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0" w:name="_Toc6831"/>
      <w:r>
        <w:rPr>
          <w:rFonts w:hint="eastAsia" w:ascii="黑体" w:hAnsi="黑体" w:eastAsia="黑体"/>
          <w:sz w:val="32"/>
          <w:szCs w:val="32"/>
          <w:highlight w:val="none"/>
        </w:rPr>
        <w:t>第四部分 部门决算报表（见附表）</w:t>
      </w:r>
      <w:bookmarkEnd w:id="40"/>
    </w:p>
    <w:p w14:paraId="4C443C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3845"/>
      <w:bookmarkStart w:id="42" w:name="_Toc6062"/>
      <w:r>
        <w:rPr>
          <w:rFonts w:hint="eastAsia" w:ascii="仿宋_GB2312" w:hAnsi="仿宋_GB2312" w:eastAsia="仿宋_GB2312" w:cs="仿宋_GB2312"/>
          <w:bCs/>
          <w:kern w:val="0"/>
          <w:sz w:val="32"/>
          <w:szCs w:val="32"/>
          <w:highlight w:val="none"/>
        </w:rPr>
        <w:t>一、《收入支出决算总表》</w:t>
      </w:r>
      <w:bookmarkEnd w:id="41"/>
      <w:bookmarkEnd w:id="42"/>
    </w:p>
    <w:p w14:paraId="40D55B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11927"/>
      <w:bookmarkStart w:id="44" w:name="_Toc30364"/>
      <w:r>
        <w:rPr>
          <w:rFonts w:hint="eastAsia" w:ascii="仿宋_GB2312" w:hAnsi="仿宋_GB2312" w:eastAsia="仿宋_GB2312" w:cs="仿宋_GB2312"/>
          <w:bCs/>
          <w:kern w:val="0"/>
          <w:sz w:val="32"/>
          <w:szCs w:val="32"/>
          <w:highlight w:val="none"/>
        </w:rPr>
        <w:t>二、《收入决算表》</w:t>
      </w:r>
      <w:bookmarkEnd w:id="43"/>
      <w:bookmarkEnd w:id="44"/>
    </w:p>
    <w:p w14:paraId="5720643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7443"/>
      <w:bookmarkStart w:id="46" w:name="_Toc21304"/>
      <w:r>
        <w:rPr>
          <w:rFonts w:hint="eastAsia" w:ascii="仿宋_GB2312" w:hAnsi="仿宋_GB2312" w:eastAsia="仿宋_GB2312" w:cs="仿宋_GB2312"/>
          <w:bCs/>
          <w:kern w:val="0"/>
          <w:sz w:val="32"/>
          <w:szCs w:val="32"/>
          <w:highlight w:val="none"/>
        </w:rPr>
        <w:t>《支出决算表》</w:t>
      </w:r>
      <w:bookmarkEnd w:id="45"/>
      <w:bookmarkEnd w:id="46"/>
    </w:p>
    <w:p w14:paraId="2F795BD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14238"/>
      <w:bookmarkStart w:id="48" w:name="_Toc24884"/>
      <w:r>
        <w:rPr>
          <w:rFonts w:hint="eastAsia" w:ascii="仿宋_GB2312" w:hAnsi="仿宋_GB2312" w:eastAsia="仿宋_GB2312" w:cs="仿宋_GB2312"/>
          <w:bCs/>
          <w:kern w:val="0"/>
          <w:sz w:val="32"/>
          <w:szCs w:val="32"/>
          <w:highlight w:val="none"/>
        </w:rPr>
        <w:t>《财政拨款收入支出决算总表》</w:t>
      </w:r>
      <w:bookmarkEnd w:id="47"/>
      <w:bookmarkEnd w:id="48"/>
    </w:p>
    <w:p w14:paraId="1A4E3AF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9" w:name="_Toc10347"/>
      <w:bookmarkStart w:id="50" w:name="_Toc16518"/>
      <w:r>
        <w:rPr>
          <w:rFonts w:hint="eastAsia" w:ascii="仿宋_GB2312" w:hAnsi="仿宋_GB2312" w:eastAsia="仿宋_GB2312" w:cs="仿宋_GB2312"/>
          <w:bCs/>
          <w:kern w:val="0"/>
          <w:sz w:val="32"/>
          <w:szCs w:val="32"/>
          <w:highlight w:val="none"/>
        </w:rPr>
        <w:t>《一般公共预算财政拨款支出决算表》</w:t>
      </w:r>
      <w:bookmarkEnd w:id="49"/>
      <w:bookmarkEnd w:id="50"/>
    </w:p>
    <w:p w14:paraId="05649FD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5626"/>
      <w:bookmarkStart w:id="52" w:name="_Toc20514"/>
      <w:r>
        <w:rPr>
          <w:rFonts w:hint="eastAsia" w:ascii="仿宋_GB2312" w:hAnsi="仿宋_GB2312" w:eastAsia="仿宋_GB2312" w:cs="仿宋_GB2312"/>
          <w:bCs/>
          <w:kern w:val="0"/>
          <w:sz w:val="32"/>
          <w:szCs w:val="32"/>
          <w:highlight w:val="none"/>
        </w:rPr>
        <w:t>《一般公共预算财政拨款基本支出决算表》</w:t>
      </w:r>
      <w:bookmarkEnd w:id="51"/>
      <w:bookmarkEnd w:id="52"/>
    </w:p>
    <w:p w14:paraId="122E3A4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3" w:name="_Toc5453"/>
      <w:bookmarkStart w:id="54" w:name="_Toc18055"/>
      <w:r>
        <w:rPr>
          <w:rFonts w:hint="eastAsia" w:ascii="仿宋_GB2312" w:hAnsi="仿宋_GB2312" w:eastAsia="仿宋_GB2312" w:cs="仿宋_GB2312"/>
          <w:bCs/>
          <w:kern w:val="0"/>
          <w:sz w:val="32"/>
          <w:szCs w:val="32"/>
          <w:highlight w:val="none"/>
        </w:rPr>
        <w:t>《政府性基金预算财政拨款收入支出决算表》</w:t>
      </w:r>
      <w:bookmarkEnd w:id="53"/>
      <w:bookmarkEnd w:id="54"/>
    </w:p>
    <w:p w14:paraId="091B3AA3">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5" w:name="_Toc10719"/>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5"/>
    </w:p>
    <w:p w14:paraId="6EB4066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32663"/>
      <w:bookmarkStart w:id="57" w:name="_Toc29106"/>
      <w:bookmarkStart w:id="58" w:name="_Toc18861"/>
      <w:r>
        <w:rPr>
          <w:rFonts w:hint="eastAsia" w:ascii="仿宋_GB2312" w:hAnsi="仿宋_GB2312" w:eastAsia="仿宋_GB2312" w:cs="仿宋_GB2312"/>
          <w:bCs/>
          <w:kern w:val="0"/>
          <w:sz w:val="32"/>
          <w:szCs w:val="32"/>
          <w:highlight w:val="none"/>
        </w:rPr>
        <w:t>《财政拨款“三公”经费支出决算表》</w:t>
      </w:r>
      <w:bookmarkEnd w:id="56"/>
      <w:bookmarkEnd w:id="57"/>
      <w:bookmarkEnd w:id="58"/>
    </w:p>
    <w:p w14:paraId="3B90A99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仿宋_GB2312" w:hAnsi="仿宋_GB2312" w:eastAsia="仿宋_GB2312" w:cs="仿宋_GB2312"/>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845EA4-D684-4BDA-83DA-C774544E91B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3C292D2D-B935-4167-A603-EE7AF5F257D3}"/>
  </w:font>
  <w:font w:name="仿宋_GB2312">
    <w:panose1 w:val="02010609030101010101"/>
    <w:charset w:val="86"/>
    <w:family w:val="modern"/>
    <w:pitch w:val="default"/>
    <w:sig w:usb0="00000001" w:usb1="080E0000" w:usb2="00000000" w:usb3="00000000" w:csb0="00040000" w:csb1="00000000"/>
    <w:embedRegular r:id="rId3" w:fontKey="{3AA3B239-E535-4242-B5AC-37463B3933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1477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C302C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CC302C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3D8823"/>
    <w:multiLevelType w:val="singleLevel"/>
    <w:tmpl w:val="D03D882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F73D26"/>
    <w:rsid w:val="034D4FEF"/>
    <w:rsid w:val="03DE0026"/>
    <w:rsid w:val="043E5B56"/>
    <w:rsid w:val="06792773"/>
    <w:rsid w:val="09A729D8"/>
    <w:rsid w:val="0A7B4867"/>
    <w:rsid w:val="0AC260D6"/>
    <w:rsid w:val="0B8C3ECC"/>
    <w:rsid w:val="0C3613A3"/>
    <w:rsid w:val="0C7227A7"/>
    <w:rsid w:val="0DCA6EF7"/>
    <w:rsid w:val="0E4B1576"/>
    <w:rsid w:val="0E99269C"/>
    <w:rsid w:val="10EA0878"/>
    <w:rsid w:val="111D3AAA"/>
    <w:rsid w:val="115748CE"/>
    <w:rsid w:val="11E15093"/>
    <w:rsid w:val="120E0809"/>
    <w:rsid w:val="14A50D73"/>
    <w:rsid w:val="182319C8"/>
    <w:rsid w:val="1875698D"/>
    <w:rsid w:val="19071D6C"/>
    <w:rsid w:val="1C317E4F"/>
    <w:rsid w:val="1C472464"/>
    <w:rsid w:val="1DAF458D"/>
    <w:rsid w:val="1E086ACE"/>
    <w:rsid w:val="1EAA4A5F"/>
    <w:rsid w:val="1F040613"/>
    <w:rsid w:val="1F587A0B"/>
    <w:rsid w:val="2064678E"/>
    <w:rsid w:val="20DD6197"/>
    <w:rsid w:val="210B5C89"/>
    <w:rsid w:val="21586871"/>
    <w:rsid w:val="21F317F2"/>
    <w:rsid w:val="2226421E"/>
    <w:rsid w:val="2241392C"/>
    <w:rsid w:val="23BC04D2"/>
    <w:rsid w:val="25275618"/>
    <w:rsid w:val="27CF2642"/>
    <w:rsid w:val="282459E2"/>
    <w:rsid w:val="2A053397"/>
    <w:rsid w:val="2A444FB1"/>
    <w:rsid w:val="2A6064E2"/>
    <w:rsid w:val="2B864D35"/>
    <w:rsid w:val="2BA9200B"/>
    <w:rsid w:val="2D1136DF"/>
    <w:rsid w:val="2DAE0E44"/>
    <w:rsid w:val="2F2C2DF5"/>
    <w:rsid w:val="2FD27414"/>
    <w:rsid w:val="313F1D52"/>
    <w:rsid w:val="318029AB"/>
    <w:rsid w:val="31C63837"/>
    <w:rsid w:val="326F0A17"/>
    <w:rsid w:val="32DC78D9"/>
    <w:rsid w:val="34623382"/>
    <w:rsid w:val="37557BE6"/>
    <w:rsid w:val="38284F26"/>
    <w:rsid w:val="3914510A"/>
    <w:rsid w:val="3B1220C9"/>
    <w:rsid w:val="3D5275AC"/>
    <w:rsid w:val="3EA46A1F"/>
    <w:rsid w:val="3EA7725F"/>
    <w:rsid w:val="40834692"/>
    <w:rsid w:val="423A32B2"/>
    <w:rsid w:val="42BB0FA4"/>
    <w:rsid w:val="43BF695E"/>
    <w:rsid w:val="43D07CF8"/>
    <w:rsid w:val="464B7E04"/>
    <w:rsid w:val="46901EEE"/>
    <w:rsid w:val="469C74D2"/>
    <w:rsid w:val="47445515"/>
    <w:rsid w:val="48E21116"/>
    <w:rsid w:val="49C97D5C"/>
    <w:rsid w:val="4AE426AE"/>
    <w:rsid w:val="4B4C0111"/>
    <w:rsid w:val="4B8605EA"/>
    <w:rsid w:val="4D730311"/>
    <w:rsid w:val="4ECC3DAA"/>
    <w:rsid w:val="505A358E"/>
    <w:rsid w:val="50DB5F45"/>
    <w:rsid w:val="52F92565"/>
    <w:rsid w:val="553328D6"/>
    <w:rsid w:val="5547000F"/>
    <w:rsid w:val="55DA564E"/>
    <w:rsid w:val="56E07045"/>
    <w:rsid w:val="57821BAE"/>
    <w:rsid w:val="583059FA"/>
    <w:rsid w:val="587E6212"/>
    <w:rsid w:val="58D10A34"/>
    <w:rsid w:val="59973ABF"/>
    <w:rsid w:val="5A74678C"/>
    <w:rsid w:val="5A805408"/>
    <w:rsid w:val="5AFC6609"/>
    <w:rsid w:val="5B6106B4"/>
    <w:rsid w:val="5C9D30FF"/>
    <w:rsid w:val="5E4242FE"/>
    <w:rsid w:val="5EF070E7"/>
    <w:rsid w:val="5FA17648"/>
    <w:rsid w:val="61001944"/>
    <w:rsid w:val="613409CB"/>
    <w:rsid w:val="61A46A97"/>
    <w:rsid w:val="62DD7D21"/>
    <w:rsid w:val="64997644"/>
    <w:rsid w:val="65D97752"/>
    <w:rsid w:val="664C500C"/>
    <w:rsid w:val="6773145F"/>
    <w:rsid w:val="68DB0208"/>
    <w:rsid w:val="69846A0E"/>
    <w:rsid w:val="69937B96"/>
    <w:rsid w:val="69AD798C"/>
    <w:rsid w:val="6A7B6011"/>
    <w:rsid w:val="6B68175F"/>
    <w:rsid w:val="6B8B5C99"/>
    <w:rsid w:val="6D3856FC"/>
    <w:rsid w:val="6E0F7A08"/>
    <w:rsid w:val="6E801ABC"/>
    <w:rsid w:val="71473612"/>
    <w:rsid w:val="718F7F65"/>
    <w:rsid w:val="73423603"/>
    <w:rsid w:val="73C043CE"/>
    <w:rsid w:val="73DE4104"/>
    <w:rsid w:val="73FB6630"/>
    <w:rsid w:val="747A3C5E"/>
    <w:rsid w:val="74CE04EC"/>
    <w:rsid w:val="74E76DCD"/>
    <w:rsid w:val="76660D7C"/>
    <w:rsid w:val="76CF72D3"/>
    <w:rsid w:val="77ED6F44"/>
    <w:rsid w:val="78B87A58"/>
    <w:rsid w:val="79481F08"/>
    <w:rsid w:val="795A0A34"/>
    <w:rsid w:val="79FB30B5"/>
    <w:rsid w:val="7A0D3BC7"/>
    <w:rsid w:val="7A3A3CDB"/>
    <w:rsid w:val="7DE524C0"/>
    <w:rsid w:val="7EAC4F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5180</Words>
  <Characters>5845</Characters>
  <Lines>0</Lines>
  <Paragraphs>0</Paragraphs>
  <TotalTime>0</TotalTime>
  <ScaleCrop>false</ScaleCrop>
  <LinksUpToDate>false</LinksUpToDate>
  <CharactersWithSpaces>5855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221B</cp:lastModifiedBy>
  <cp:lastPrinted>2024-07-22T11:58:00Z</cp:lastPrinted>
  <dcterms:modified xsi:type="dcterms:W3CDTF">2025-10-16T08:20:05Z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8FDA567F26D84A8C8A1B02E29FDE1AE6_13</vt:lpwstr>
  </property>
  <property fmtid="{D5CDD505-2E9C-101B-9397-08002B2CF9AE}" pid="4" name="KSOTemplateDocerSaveRecord">
    <vt:lpwstr>eyJoZGlkIjoiODc4Yzk1M2E5M2IzN2U1MWQ3MjIzMjkxMGE5Y2NjZjQiLCJ1c2VySWQiOiIyNDgzNzQxNTEifQ==</vt:lpwstr>
  </property>
</Properties>
</file>