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hint="eastAsia" w:ascii="方正小标宋简体" w:hAnsi="方正小标宋简体" w:eastAsia="方正小标宋简体" w:cs="方正小标宋简体"/>
          <w:b/>
          <w:kern w:val="0"/>
          <w:sz w:val="44"/>
          <w:szCs w:val="4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自治区</w:t>
      </w:r>
      <w:r>
        <w:rPr>
          <w:rFonts w:hint="eastAsia" w:ascii="方正小标宋简体" w:hAnsi="方正小标宋简体" w:eastAsia="方正小标宋简体" w:cs="方正小标宋简体"/>
          <w:b/>
          <w:kern w:val="0"/>
          <w:sz w:val="44"/>
          <w:szCs w:val="44"/>
          <w:lang w:eastAsia="zh-CN"/>
        </w:rPr>
        <w:t>侨联</w:t>
      </w:r>
      <w:r>
        <w:rPr>
          <w:rFonts w:hint="eastAsia" w:ascii="方正小标宋简体" w:hAnsi="方正小标宋简体" w:eastAsia="方正小标宋简体" w:cs="方正小标宋简体"/>
          <w:b/>
          <w:kern w:val="0"/>
          <w:sz w:val="44"/>
          <w:szCs w:val="44"/>
        </w:rPr>
        <w:t>整体支出绩效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outlineLvl w:val="9"/>
        <w:rPr>
          <w:rFonts w:hint="eastAsia" w:ascii="楷体_GB2312" w:hAnsi="楷体_GB2312" w:eastAsia="楷体_GB2312" w:cs="楷体_GB2312"/>
          <w:b w:val="0"/>
          <w:bCs/>
          <w:color w:val="333333"/>
          <w:sz w:val="32"/>
          <w:szCs w:val="32"/>
          <w:lang w:bidi="ar"/>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基本</w:t>
      </w:r>
      <w:r>
        <w:rPr>
          <w:rFonts w:hint="eastAsia" w:ascii="黑体" w:hAnsi="黑体" w:eastAsia="黑体" w:cs="黑体"/>
          <w:b w:val="0"/>
          <w:bCs/>
          <w:color w:val="333333"/>
          <w:sz w:val="32"/>
          <w:szCs w:val="32"/>
          <w:lang w:bidi="ar"/>
        </w:rPr>
        <w:t>概况</w:t>
      </w:r>
      <w:r>
        <w:rPr>
          <w:rFonts w:hint="eastAsia" w:ascii="仿宋_GB2312" w:hAnsi="仿宋_GB2312" w:eastAsia="仿宋_GB2312" w:cs="仿宋_GB2312"/>
          <w:b w:val="0"/>
          <w:bCs/>
          <w:color w:val="333333"/>
          <w:sz w:val="32"/>
          <w:szCs w:val="32"/>
          <w:lang w:bidi="ar"/>
        </w:rPr>
        <w:br w:type="textWrapping"/>
      </w:r>
      <w:r>
        <w:rPr>
          <w:rFonts w:hint="eastAsia" w:ascii="仿宋_GB2312" w:hAnsi="仿宋_GB2312" w:eastAsia="仿宋_GB2312" w:cs="仿宋_GB2312"/>
          <w:b w:val="0"/>
          <w:bCs/>
          <w:color w:val="333333"/>
          <w:sz w:val="32"/>
          <w:szCs w:val="32"/>
          <w:lang w:val="en-US" w:eastAsia="zh-CN" w:bidi="ar"/>
        </w:rPr>
        <w:t xml:space="preserve">    </w:t>
      </w:r>
      <w:r>
        <w:rPr>
          <w:rFonts w:hint="eastAsia" w:ascii="楷体_GB2312" w:hAnsi="楷体_GB2312" w:eastAsia="楷体_GB2312" w:cs="楷体_GB2312"/>
          <w:b/>
          <w:bCs w:val="0"/>
          <w:color w:val="333333"/>
          <w:sz w:val="32"/>
          <w:szCs w:val="32"/>
          <w:lang w:eastAsia="zh-CN" w:bidi="ar"/>
        </w:rPr>
        <w:t>（一）</w:t>
      </w:r>
      <w:r>
        <w:rPr>
          <w:rFonts w:hint="eastAsia" w:ascii="楷体_GB2312" w:hAnsi="楷体_GB2312" w:eastAsia="楷体_GB2312" w:cs="楷体_GB2312"/>
          <w:b/>
          <w:bCs w:val="0"/>
          <w:sz w:val="32"/>
          <w:szCs w:val="32"/>
        </w:rPr>
        <w:t>部门单位基本情况</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主要职能：新疆维吾尔自治区归国华侨联合会是自治区党委和人民政府领导的由归侨侨眷组成的人民团体，是党和政府联系广大归侨侨眷和海外侨胞的桥梁与纽带。主要履行服务经济发展、依法维护侨益、拓展海外联谊、积极参政议政、弘扬中华文化、参与社会建设工作等职能。</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rPr>
        <w:t xml:space="preserve">    人员构成：新疆维吾尔自治区归国华侨联合会编制数30，实有人数46人，其中：在职25人， 退休21人。</w:t>
      </w:r>
      <w:bookmarkStart w:id="0" w:name="_Hlk43849111"/>
      <w:bookmarkEnd w:id="0"/>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3" w:firstLineChars="200"/>
        <w:textAlignment w:val="auto"/>
        <w:outlineLvl w:val="9"/>
        <w:rPr>
          <w:rFonts w:hint="eastAsia" w:ascii="楷体_GB2312" w:hAnsi="楷体_GB2312" w:eastAsia="楷体_GB2312" w:cs="楷体_GB2312"/>
          <w:b/>
          <w:bCs w:val="0"/>
          <w:color w:val="333333"/>
          <w:sz w:val="32"/>
          <w:szCs w:val="32"/>
          <w:lang w:val="en-US" w:eastAsia="zh-CN" w:bidi="ar"/>
        </w:rPr>
      </w:pPr>
      <w:r>
        <w:rPr>
          <w:rFonts w:hint="eastAsia" w:ascii="楷体_GB2312" w:hAnsi="楷体_GB2312" w:eastAsia="楷体_GB2312" w:cs="楷体_GB2312"/>
          <w:b/>
          <w:bCs w:val="0"/>
          <w:color w:val="333333"/>
          <w:sz w:val="32"/>
          <w:szCs w:val="32"/>
          <w:lang w:eastAsia="zh-CN" w:bidi="ar"/>
        </w:rPr>
        <w:t>（二）部门单位年度重点工作</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是举办侨联干部培训班1期，提升侨务工作者业务水平；二是拨付3个地州“侨界医疗队下基层”项目经费，开展送温暖服务；三是拨付15个地州侨界群众慰问金，联合开展“送温暖·献爱心”侨界群众慰问活动；四是拍摄“亲情中华·感恩伟大祖国”侨人物短视频宣传片；五是举办“中国寻根之旅”网上夏令营活动；六是举办“中国寻根之旅”实体夏令营活动1期；七是举办海外华文媒体采访行活动；八是举办新疆侨界庆祝中华人民共和国成立75周年演出活动。</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left"/>
        <w:textAlignment w:val="auto"/>
        <w:outlineLvl w:val="9"/>
        <w:rPr>
          <w:rFonts w:hint="eastAsia" w:ascii="楷体_GB2312" w:hAnsi="楷体_GB2312" w:eastAsia="楷体_GB2312" w:cs="楷体_GB2312"/>
          <w:b/>
          <w:bCs w:val="0"/>
          <w:i w:val="0"/>
          <w:caps w:val="0"/>
          <w:color w:val="333333"/>
          <w:spacing w:val="0"/>
          <w:sz w:val="32"/>
          <w:szCs w:val="32"/>
          <w:shd w:val="clear" w:fill="FFFFFF"/>
          <w:lang w:val="en-US" w:eastAsia="zh-CN"/>
        </w:rPr>
      </w:pPr>
      <w:bookmarkStart w:id="1" w:name="_GoBack"/>
      <w:r>
        <w:rPr>
          <w:rFonts w:hint="eastAsia" w:ascii="楷体_GB2312" w:hAnsi="楷体_GB2312" w:eastAsia="楷体_GB2312" w:cs="楷体_GB2312"/>
          <w:b/>
          <w:bCs w:val="0"/>
          <w:color w:val="333333"/>
          <w:sz w:val="32"/>
          <w:szCs w:val="32"/>
          <w:lang w:eastAsia="zh-CN" w:bidi="ar"/>
        </w:rPr>
        <w:t>（三）</w:t>
      </w:r>
      <w:r>
        <w:rPr>
          <w:rFonts w:hint="eastAsia" w:ascii="楷体_GB2312" w:hAnsi="楷体_GB2312" w:eastAsia="楷体_GB2312" w:cs="楷体_GB2312"/>
          <w:b/>
          <w:bCs w:val="0"/>
          <w:color w:val="333333"/>
          <w:sz w:val="32"/>
          <w:szCs w:val="32"/>
          <w:lang w:bidi="ar"/>
        </w:rPr>
        <w:t>部门单位整体预算规模及安排情况</w:t>
      </w:r>
    </w:p>
    <w:bookmarkEnd w:id="1"/>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rFonts w:hint="eastAsia" w:ascii="仿宋_GB2312" w:hAnsi="仿宋_GB2312" w:eastAsia="仿宋_GB2312" w:cs="仿宋_GB2312"/>
          <w:b w:val="0"/>
          <w:bCs/>
          <w:i w:val="0"/>
          <w:caps w:val="0"/>
          <w:color w:val="333333"/>
          <w:spacing w:val="0"/>
          <w:sz w:val="32"/>
          <w:szCs w:val="32"/>
          <w:shd w:val="clear" w:fill="FFFFFF"/>
        </w:rPr>
      </w:pPr>
      <w:r>
        <w:rPr>
          <w:rFonts w:hint="eastAsia" w:ascii="仿宋_GB2312" w:hAnsi="仿宋_GB2312" w:eastAsia="仿宋_GB2312" w:cs="仿宋_GB2312"/>
          <w:b w:val="0"/>
          <w:bCs/>
          <w:sz w:val="32"/>
          <w:szCs w:val="32"/>
        </w:rPr>
        <w:t>部门单位整体预算规模：新疆维吾尔自治区归国华侨联合会2024年年初预算数827.64万元 ，全年预算数964.26万元，执行数964.26万元，其中：基本支出人员经费628.48万元、日常公用经费70.1万元；项目支出：265.68万元。</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预算</w:t>
      </w:r>
      <w:r>
        <w:rPr>
          <w:rFonts w:hint="eastAsia" w:ascii="仿宋_GB2312" w:hAnsi="仿宋_GB2312" w:eastAsia="仿宋_GB2312" w:cs="仿宋_GB2312"/>
          <w:b w:val="0"/>
          <w:bCs/>
          <w:sz w:val="32"/>
          <w:szCs w:val="32"/>
        </w:rPr>
        <w:t>安排情况：我单位2024年整体经费支出按照“事前审核、事中检查、事后评价”的要求，对财政资金实施全过程监督控制，建立健全预算绩效管理制度，确保财政资金按规定用途合理使用。加强绩效监控管理，建立健全了激励和约束机制，强化资金使用的监督与管理，提高资金使用效率。</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二、</w:t>
      </w:r>
      <w:r>
        <w:rPr>
          <w:rFonts w:hint="eastAsia" w:ascii="黑体" w:hAnsi="黑体" w:eastAsia="黑体" w:cs="黑体"/>
          <w:b w:val="0"/>
          <w:bCs/>
          <w:color w:val="333333"/>
          <w:sz w:val="32"/>
          <w:szCs w:val="32"/>
          <w:lang w:bidi="ar"/>
        </w:rPr>
        <w:t>部门单位整体支出管理及使用情况</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基本支出使用情况：我单位2024年基本支出698.58万元。其中:人员经费628.48万元，主要用于保证干部、职工的基本工资福利、养老保险、医疗保险等社会保险费、退休人员医疗费等；公用经费70.1万元，主要用于保证机关正常运行相关支出。</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rPr>
        <w:t xml:space="preserve">    专项资金投入情况：我单位2024年专项资金投入265.68万元。专项资金按照预算计划保障到位，保障项目资金合理、合规支出。</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lang w:val="en-US" w:eastAsia="zh-CN"/>
        </w:rPr>
        <w:t xml:space="preserve">    </w:t>
      </w:r>
      <w:r>
        <w:rPr>
          <w:rFonts w:hint="eastAsia" w:ascii="仿宋_GB2312" w:hAnsi="仿宋_GB2312" w:eastAsia="仿宋_GB2312" w:cs="仿宋_GB2312"/>
          <w:b w:val="0"/>
          <w:bCs/>
          <w:sz w:val="32"/>
          <w:szCs w:val="32"/>
        </w:rPr>
        <w:t>专项资金使用情况：项目支出265.68万元，主要用于举办侨联干部培训班；开展“侨界医疗队下基层”送温暖服务、“送温暖·献爱心”侨界群众慰问活动；拍摄“亲情中华·感恩伟大祖国”侨人物短视频宣传片；举办“中国寻根之旅”网上夏令营、实体夏令营活动；举办海外华文媒体采访行活动；举办新疆侨界庆祝中华人民共和国成立75周年演出活动。</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rPr>
        <w:t xml:space="preserve">    专项资金管理情况：我单位在经费支出时坚持“量入为出，收支平衡”的原则，严格按照专项资金绩效目标控制经费使用用途，既要考虑单位事业发展需要，又要考虑财力可能，实行专项资金统筹安排，综合平衡。</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200" w:firstLine="320" w:firstLineChars="100"/>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三、</w:t>
      </w:r>
      <w:r>
        <w:rPr>
          <w:rFonts w:hint="eastAsia" w:ascii="黑体" w:hAnsi="黑体" w:eastAsia="黑体" w:cs="黑体"/>
          <w:b w:val="0"/>
          <w:bCs/>
          <w:color w:val="333333"/>
          <w:sz w:val="32"/>
          <w:szCs w:val="32"/>
          <w:lang w:bidi="ar"/>
        </w:rPr>
        <w:t>部门单位专项组织实施情况</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指标一：全年全区开展侨界专项活动数量，指标值=6项，年中绩效运行监控节点完成3项，本次评价实际完成6项，（1）开展“侨界医疗队下基层”送温暖服务；（2）“送温暖·献爱心”侨界群众慰问活动；（3）在新疆师范大学举办海外新疆籍华裔青少年“中国寻根之旅”网上夏令营、实体夏令营活动，讲好中国故事、新疆的故事；（4）联合中国侨联干部培训中心举办全疆侨联干部培训班，提升侨联干部专业素养；（5）举办海外华文媒体采访行活动并拍摄宣传短视频，向世界展示一个真实、立体、全面的中国新疆；（6）拍摄“亲情中华·感恩伟大祖国”侨人物短视频宣传片。本项指标设置分值60分，完成率100%，实际得分60分。</w:t>
      </w:r>
      <w:r>
        <w:rPr>
          <w:rFonts w:hint="eastAsia" w:ascii="仿宋_GB2312" w:hAnsi="仿宋_GB2312" w:eastAsia="仿宋_GB2312" w:cs="仿宋_GB2312"/>
          <w:b w:val="0"/>
          <w:bCs/>
          <w:sz w:val="32"/>
          <w:szCs w:val="32"/>
        </w:rPr>
        <w:br w:type="textWrapping"/>
      </w:r>
      <w:r>
        <w:rPr>
          <w:rFonts w:hint="eastAsia" w:ascii="仿宋_GB2312" w:hAnsi="仿宋_GB2312" w:eastAsia="仿宋_GB2312" w:cs="仿宋_GB2312"/>
          <w:b w:val="0"/>
          <w:bCs/>
          <w:sz w:val="32"/>
          <w:szCs w:val="32"/>
        </w:rPr>
        <w:t xml:space="preserve">    指标二：“中国寻根之旅”夏令营活动覆盖人数，指标值&gt;=40人，年中绩效运行监控节点完成27人，本次评价实际完成40人，举办两期“中国寻根之旅”网上营活动，进一步拓展与海外中文学校及社团联系，讲好中国故事、新疆故事，增进海外华裔青少年对祖（籍）国的了解和情感。本项指标设置分值30分，完成率100%，实际得分30分。</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200" w:firstLine="320" w:firstLineChars="100"/>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四、评价结论</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2024年度部门整体支出绩效自评综合得分100分，评价结果为“优”。</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200" w:firstLine="320" w:firstLineChars="100"/>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i w:val="0"/>
          <w:caps w:val="0"/>
          <w:color w:val="333333"/>
          <w:spacing w:val="0"/>
          <w:sz w:val="32"/>
          <w:szCs w:val="32"/>
          <w:shd w:val="clear" w:fill="FFFFFF"/>
          <w:lang w:eastAsia="zh-CN"/>
        </w:rPr>
        <w:t>五、</w:t>
      </w:r>
      <w:r>
        <w:rPr>
          <w:rFonts w:hint="eastAsia" w:ascii="黑体" w:hAnsi="黑体" w:eastAsia="黑体" w:cs="黑体"/>
          <w:b w:val="0"/>
          <w:bCs/>
          <w:i w:val="0"/>
          <w:caps w:val="0"/>
          <w:color w:val="333333"/>
          <w:spacing w:val="0"/>
          <w:sz w:val="32"/>
          <w:szCs w:val="32"/>
          <w:shd w:val="clear" w:fill="FFFFFF"/>
        </w:rPr>
        <w:t>存在的主要问题及原因分析</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color w:val="333333"/>
          <w:sz w:val="32"/>
          <w:szCs w:val="32"/>
          <w:lang w:bidi="ar"/>
        </w:rPr>
        <w:t xml:space="preserve"> </w:t>
      </w:r>
      <w:r>
        <w:rPr>
          <w:rFonts w:hint="eastAsia" w:ascii="仿宋_GB2312" w:hAnsi="仿宋_GB2312" w:eastAsia="仿宋_GB2312" w:cs="仿宋_GB2312"/>
          <w:b w:val="0"/>
          <w:bCs/>
          <w:sz w:val="32"/>
          <w:szCs w:val="32"/>
        </w:rPr>
        <w:t>绩效目标完成情况良好，上半年执行进度缓慢，绩效目标设定及绩效的考核仍需进一步完善。</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leftChars="200" w:firstLine="320" w:firstLineChars="100"/>
        <w:textAlignment w:val="auto"/>
        <w:outlineLvl w:val="9"/>
        <w:rPr>
          <w:rFonts w:hint="eastAsia" w:ascii="黑体" w:hAnsi="黑体" w:eastAsia="黑体" w:cs="黑体"/>
          <w:b w:val="0"/>
          <w:bCs/>
          <w:color w:val="333333"/>
          <w:sz w:val="32"/>
          <w:szCs w:val="32"/>
          <w:lang w:bidi="ar"/>
        </w:rPr>
      </w:pPr>
      <w:r>
        <w:rPr>
          <w:rFonts w:hint="eastAsia" w:ascii="黑体" w:hAnsi="黑体" w:eastAsia="黑体" w:cs="黑体"/>
          <w:b w:val="0"/>
          <w:bCs/>
          <w:color w:val="333333"/>
          <w:sz w:val="32"/>
          <w:szCs w:val="32"/>
          <w:lang w:eastAsia="zh-CN" w:bidi="ar"/>
        </w:rPr>
        <w:t>六、</w:t>
      </w:r>
      <w:r>
        <w:rPr>
          <w:rFonts w:hint="eastAsia" w:ascii="黑体" w:hAnsi="黑体" w:eastAsia="黑体" w:cs="黑体"/>
          <w:b w:val="0"/>
          <w:bCs/>
          <w:color w:val="333333"/>
          <w:sz w:val="32"/>
          <w:szCs w:val="32"/>
          <w:lang w:bidi="ar"/>
        </w:rPr>
        <w:t>改进措施和建议</w:t>
      </w:r>
    </w:p>
    <w:p>
      <w:pPr>
        <w:keepNext w:val="0"/>
        <w:keepLines w:val="0"/>
        <w:pageBreakBefore w:val="0"/>
        <w:widowControl w:val="0"/>
        <w:kinsoku/>
        <w:wordWrap/>
        <w:overflowPunct/>
        <w:topLinePunct w:val="0"/>
        <w:autoSpaceDE/>
        <w:autoSpaceDN/>
        <w:bidi w:val="0"/>
        <w:adjustRightInd/>
        <w:spacing w:line="600" w:lineRule="exact"/>
        <w:ind w:left="0" w:firstLine="640" w:firstLineChars="200"/>
        <w:jc w:val="left"/>
        <w:textAlignment w:val="auto"/>
        <w:outlineLvl w:val="9"/>
        <w:rPr>
          <w:b w:val="0"/>
          <w:bCs/>
          <w:sz w:val="32"/>
          <w:szCs w:val="32"/>
        </w:rPr>
      </w:pPr>
      <w:r>
        <w:rPr>
          <w:rFonts w:hint="eastAsia" w:ascii="仿宋_GB2312" w:hAnsi="仿宋_GB2312" w:eastAsia="仿宋_GB2312" w:cs="仿宋_GB2312"/>
          <w:b w:val="0"/>
          <w:bCs/>
          <w:sz w:val="32"/>
          <w:szCs w:val="32"/>
        </w:rPr>
        <w:t>强化绩效管理考核，将绩效考核目标任务层层分解落实，加强重点工作督查，对重点项目加强日常监管，开展专项督查及建立健全绩效问责机制，充分体现财政资金使用主体责任。</w:t>
      </w:r>
    </w:p>
    <w:sectPr>
      <w:pgSz w:w="11906" w:h="16838"/>
      <w:pgMar w:top="2098"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04"/>
    <w:rsid w:val="001C7F2C"/>
    <w:rsid w:val="00340E58"/>
    <w:rsid w:val="003E45AA"/>
    <w:rsid w:val="00584481"/>
    <w:rsid w:val="00653C1A"/>
    <w:rsid w:val="007B51CE"/>
    <w:rsid w:val="007E47F4"/>
    <w:rsid w:val="008F0DCE"/>
    <w:rsid w:val="00916058"/>
    <w:rsid w:val="00AB72C1"/>
    <w:rsid w:val="00C10BB4"/>
    <w:rsid w:val="00CE0C6C"/>
    <w:rsid w:val="00DB647F"/>
    <w:rsid w:val="00DC7E33"/>
    <w:rsid w:val="00E8616A"/>
    <w:rsid w:val="00EB3604"/>
    <w:rsid w:val="0314578A"/>
    <w:rsid w:val="05211BAE"/>
    <w:rsid w:val="12350D4C"/>
    <w:rsid w:val="1EB12C18"/>
    <w:rsid w:val="2C416D72"/>
    <w:rsid w:val="376016E5"/>
    <w:rsid w:val="78C95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51</Words>
  <Characters>293</Characters>
  <Lines>2</Lines>
  <Paragraphs>1</Paragraphs>
  <TotalTime>11</TotalTime>
  <ScaleCrop>false</ScaleCrop>
  <LinksUpToDate>false</LinksUpToDate>
  <CharactersWithSpaces>343</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财务室2</cp:lastModifiedBy>
  <dcterms:modified xsi:type="dcterms:W3CDTF">2025-08-27T09:38:41Z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