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color w:val="auto"/>
          <w:kern w:val="2"/>
          <w:sz w:val="44"/>
          <w:szCs w:val="44"/>
          <w:highlight w:val="none"/>
          <w:lang w:val="en-US" w:eastAsia="zh-CN" w:bidi="ar-SA"/>
        </w:rPr>
      </w:pPr>
      <w:r>
        <w:rPr>
          <w:rFonts w:hint="eastAsia" w:ascii="方正小标宋_GBK" w:hAnsi="宋体" w:eastAsia="方正小标宋_GBK" w:cs="Times New Roman"/>
          <w:color w:val="auto"/>
          <w:kern w:val="2"/>
          <w:sz w:val="44"/>
          <w:szCs w:val="44"/>
          <w:highlight w:val="none"/>
          <w:lang w:val="en-US" w:eastAsia="zh-CN" w:bidi="ar-SA"/>
        </w:rPr>
        <w:t>新疆维吾尔自治区归国华侨联合会</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color w:val="auto"/>
          <w:kern w:val="2"/>
          <w:sz w:val="44"/>
          <w:szCs w:val="44"/>
          <w:highlight w:val="none"/>
          <w:lang w:val="en-US" w:eastAsia="zh-CN" w:bidi="ar-SA"/>
        </w:rPr>
      </w:pPr>
      <w:r>
        <w:rPr>
          <w:rFonts w:hint="eastAsia" w:ascii="方正小标宋_GBK" w:hAnsi="宋体" w:eastAsia="方正小标宋_GBK" w:cs="Times New Roman"/>
          <w:color w:val="auto"/>
          <w:kern w:val="2"/>
          <w:sz w:val="44"/>
          <w:szCs w:val="44"/>
          <w:highlight w:val="none"/>
          <w:lang w:val="en-US" w:eastAsia="zh-CN" w:bidi="ar-SA"/>
        </w:rPr>
        <w:t>2024年度部门决算公开说明</w:t>
      </w: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仿宋_GB2312" w:hAnsi="仿宋_GB2312" w:eastAsia="仿宋_GB2312" w:cs="仿宋_GB2312"/>
          <w:b/>
          <w:bCs w:val="0"/>
          <w:color w:val="auto"/>
          <w:kern w:val="0"/>
          <w:sz w:val="36"/>
          <w:szCs w:val="36"/>
          <w:highlight w:val="none"/>
          <w:lang w:val="en-US" w:eastAsia="zh-CN" w:bidi="ar-SA"/>
        </w:rPr>
        <w:sectPr>
          <w:pgSz w:w="12240" w:h="15840"/>
          <w:pgMar w:top="2098" w:right="1474" w:bottom="1984" w:left="1587" w:header="720" w:footer="720" w:gutter="0"/>
        </w:sectPr>
      </w:pPr>
    </w:p>
    <w:p>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黑体" w:hAnsi="黑体" w:eastAsia="黑体" w:cs="黑体"/>
          <w:b/>
          <w:bCs w:val="0"/>
          <w:color w:val="auto"/>
          <w:kern w:val="0"/>
          <w:sz w:val="36"/>
          <w:szCs w:val="36"/>
          <w:highlight w:val="none"/>
          <w:lang w:val="en-US" w:eastAsia="zh-CN" w:bidi="ar-SA"/>
        </w:rPr>
      </w:pPr>
      <w:r>
        <w:rPr>
          <w:rFonts w:hint="eastAsia" w:ascii="黑体" w:hAnsi="黑体" w:eastAsia="黑体" w:cs="黑体"/>
          <w:b/>
          <w:bCs w:val="0"/>
          <w:color w:val="auto"/>
          <w:kern w:val="0"/>
          <w:sz w:val="36"/>
          <w:szCs w:val="36"/>
          <w:highlight w:val="none"/>
          <w:lang w:val="en-US" w:eastAsia="zh-CN" w:bidi="ar-SA"/>
        </w:rPr>
        <w:t>目  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第一部分 部门概况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sz w:val="32"/>
          <w:szCs w:val="32"/>
        </w:rPr>
        <w:t>第二部分</w:t>
      </w:r>
      <w:r>
        <w:rPr>
          <w:rFonts w:hint="eastAsia" w:ascii="仿宋_GB2312" w:eastAsia="仿宋_GB2312"/>
          <w:b/>
          <w:sz w:val="32"/>
          <w:szCs w:val="32"/>
          <w:lang w:val="en-US" w:eastAsia="zh-CN"/>
        </w:rPr>
        <w:t xml:space="preserve"> </w:t>
      </w:r>
      <w:r>
        <w:rPr>
          <w:rFonts w:ascii="仿宋_GB2312" w:eastAsia="仿宋_GB2312"/>
          <w:b/>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sz w:val="32"/>
          <w:szCs w:val="32"/>
        </w:rPr>
        <w:t>第三部分</w:t>
      </w:r>
      <w:r>
        <w:rPr>
          <w:rFonts w:hint="eastAsia" w:ascii="仿宋_GB2312" w:eastAsia="仿宋_GB2312"/>
          <w:b/>
          <w:sz w:val="32"/>
          <w:szCs w:val="32"/>
          <w:lang w:val="en-US" w:eastAsia="zh-CN"/>
        </w:rPr>
        <w:t xml:space="preserve"> </w:t>
      </w:r>
      <w:r>
        <w:rPr>
          <w:rFonts w:ascii="仿宋_GB2312" w:eastAsia="仿宋_GB2312"/>
          <w:b/>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sz w:val="32"/>
          <w:szCs w:val="32"/>
        </w:rPr>
        <w:t>第四部分</w:t>
      </w:r>
      <w:r>
        <w:rPr>
          <w:rFonts w:hint="eastAsia" w:ascii="仿宋_GB2312" w:eastAsia="仿宋_GB2312"/>
          <w:b/>
          <w:sz w:val="32"/>
          <w:szCs w:val="32"/>
          <w:lang w:val="en-US" w:eastAsia="zh-CN"/>
        </w:rPr>
        <w:t xml:space="preserve"> </w:t>
      </w:r>
      <w:r>
        <w:rPr>
          <w:rFonts w:ascii="仿宋_GB2312" w:eastAsia="仿宋_GB2312"/>
          <w:b/>
          <w:sz w:val="32"/>
          <w:szCs w:val="32"/>
        </w:rPr>
        <w:t>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pPr>
        <w:keepNext w:val="0"/>
        <w:keepLines w:val="0"/>
        <w:pageBreakBefore w:val="0"/>
        <w:widowControl/>
        <w:kinsoku/>
        <w:wordWrap/>
        <w:overflowPunct/>
        <w:topLinePunct w:val="0"/>
        <w:autoSpaceDE/>
        <w:autoSpaceDN/>
        <w:bidi w:val="0"/>
        <w:adjustRightInd/>
        <w:snapToGrid/>
        <w:spacing w:line="600" w:lineRule="exact"/>
        <w:textAlignment w:val="auto"/>
      </w:pPr>
      <w:r>
        <w:rPr>
          <w:b w:val="0"/>
          <w:sz w:val="0"/>
          <w:szCs w:val="0"/>
        </w:rPr>
        <w:br w:type="page"/>
      </w: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600" w:lineRule="exact"/>
        <w:jc w:val="center"/>
        <w:textAlignment w:val="auto"/>
        <w:outlineLvl w:val="0"/>
        <w:rPr>
          <w:rFonts w:hint="eastAsia" w:ascii="黑体" w:eastAsia="黑体"/>
          <w:b w:val="0"/>
          <w:sz w:val="32"/>
          <w:szCs w:val="32"/>
          <w:lang w:eastAsia="zh-CN"/>
        </w:rPr>
      </w:pPr>
      <w:r>
        <w:rPr>
          <w:rFonts w:ascii="黑体" w:eastAsia="黑体"/>
          <w:b w:val="0"/>
          <w:sz w:val="32"/>
          <w:szCs w:val="32"/>
        </w:rPr>
        <w:t>部门概况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归国华侨联合会是自治区党委、自治区人民政府领导的由归侨侨眷组成的人民团体，是党和政府联系广大归侨侨眷和海外侨胞的桥梁纽带。单位主要职能是服务经济发展、依法维护侨益、拓展海外联谊、积极参政议政、弘扬中华文化、参与社会建设。</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hint="eastAsia" w:ascii="仿宋_GB2312" w:eastAsia="仿宋_GB2312"/>
          <w:sz w:val="32"/>
          <w:szCs w:val="32"/>
          <w:lang w:eastAsia="zh-CN"/>
        </w:rPr>
      </w:pPr>
      <w:r>
        <w:rPr>
          <w:rFonts w:ascii="仿宋_GB2312" w:eastAsia="仿宋_GB2312"/>
          <w:b w:val="0"/>
          <w:sz w:val="32"/>
          <w:szCs w:val="32"/>
        </w:rPr>
        <w:t>新疆维吾尔自治区归国华侨联合会2024年度，实有人数46人，其中：在职人员25人，增加1人；离休人员0人，较上年无变化；退休人员21人，较上年无变化</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hint="eastAsia" w:ascii="仿宋_GB2312" w:hAnsi="黑体" w:eastAsia="仿宋_GB2312" w:cs="宋体"/>
          <w:bCs/>
          <w:color w:val="auto"/>
          <w:kern w:val="0"/>
          <w:sz w:val="32"/>
          <w:szCs w:val="32"/>
          <w:highlight w:val="none"/>
        </w:rPr>
        <w:t>单位无下属预算单位</w:t>
      </w:r>
      <w:r>
        <w:rPr>
          <w:rFonts w:hint="eastAsia" w:ascii="仿宋_GB2312" w:hAnsi="黑体" w:eastAsia="仿宋_GB2312" w:cs="宋体"/>
          <w:bCs/>
          <w:color w:val="auto"/>
          <w:kern w:val="0"/>
          <w:sz w:val="32"/>
          <w:szCs w:val="32"/>
          <w:highlight w:val="none"/>
          <w:lang w:eastAsia="zh-CN"/>
        </w:rPr>
        <w:t>，</w:t>
      </w:r>
      <w:r>
        <w:rPr>
          <w:rFonts w:ascii="仿宋_GB2312" w:eastAsia="仿宋_GB2312"/>
          <w:b w:val="0"/>
          <w:sz w:val="32"/>
          <w:szCs w:val="32"/>
        </w:rPr>
        <w:t>下设4个处室，分别是：办公室（权益保障部）、文化交流部（联谊联络部）、经济科技部（基层建设部）、机关党委（组织人事部）。</w:t>
      </w:r>
    </w:p>
    <w:p>
      <w:pPr>
        <w:keepNext w:val="0"/>
        <w:keepLines w:val="0"/>
        <w:pageBreakBefore w:val="0"/>
        <w:widowControl/>
        <w:kinsoku/>
        <w:wordWrap/>
        <w:overflowPunct/>
        <w:topLinePunct w:val="0"/>
        <w:autoSpaceDE/>
        <w:autoSpaceDN/>
        <w:bidi w:val="0"/>
        <w:adjustRightInd/>
        <w:snapToGrid/>
        <w:spacing w:line="60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center"/>
        <w:textAlignment w:val="auto"/>
        <w:outlineLvl w:val="0"/>
        <w:rPr>
          <w:rFonts w:ascii="黑体" w:eastAsia="黑体"/>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2024年度收入总计964.30万元，其中：本年收入合计946.74万元，使用非财政拨款结余（含专用结余）0.00万元，年初结转和结余17.56万元。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2024年度支出总计964.30万元，其中：本年支出合计964.26万元，结余分配0.00万元，年末结转和结余0.04万元。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收入支出总体与上年相比，增加38.81万元，增长4.19%，主要原因是：增加1名在职人员及人员增资调整导致人员、公用经费增加。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本年收入946.74万元，其中：财政拨款收入927.56万元,占97.97%；上级补助收入0.00万元,占0.00%；事业收入0.00万元，占0.00%；经营收入0.00万元,占0.00%；附属单位上缴收入0.00万元，占0.00%；其他收入19.18万元，占2.03%。</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本年支出964.26万元，其中：基本支出698.58万元，占72.45%；项目支出265.68万元，占27.55%；上缴上级支出0.00万元，占0.00%；经营支出0.00万元，占0.00%；对附属单位补助支出0.00万元，占0.00%。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2024年度财政拨款收入总计927.56万元，其中：年初财政拨款结转和结余0.00万元，本年财政拨款收入927.56万元。财政拨款支出总计927.56万元，其中：年末财政拨款结转和结余0.00万元，本年财政拨款支出927.56万元。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增加34.70万元，增长3.89%，主要原因是：增加1名在职人员及人员增资调整导致人员、公用经费增加。与年初预算相比，年初预算数827.64万元，决算数927.56万元，预决算差异率12.07%，主要原因是：年中追加“访惠聚”工作经费、年终绩效奖金等、格鲁吉亚-中国新疆商品展览会（随团出访）经费等。</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outlineLvl w:val="2"/>
        <w:rPr>
          <w:rFonts w:hint="eastAsia" w:ascii="楷体_GB2312" w:hAnsi="楷体_GB2312" w:eastAsia="楷体_GB2312" w:cs="楷体_GB2312"/>
          <w:sz w:val="32"/>
          <w:szCs w:val="32"/>
        </w:rPr>
      </w:pPr>
      <w:r>
        <w:rPr>
          <w:rFonts w:hint="eastAsia" w:ascii="楷体_GB2312" w:hAnsi="楷体_GB2312" w:eastAsia="楷体_GB2312" w:cs="楷体_GB2312"/>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927.56万元，占本年支出合计的96.19%。与上年相比，增加34.70万元，增长3.89%，主要原因是：增加1名在职人员及人员增资调整导致人员、公用经费增加。与年初预算相比，年初预算数827.64万元，决算数927.56万元，预决算差异率12.07%，主要原因是：年中追加“访惠聚”工作经费、年终绩效奖金等、格鲁吉亚-中国新疆商品展览会（随团出访）经费等。</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outlineLvl w:val="2"/>
        <w:rPr>
          <w:rFonts w:hint="eastAsia" w:ascii="楷体_GB2312" w:hAnsi="楷体_GB2312" w:eastAsia="楷体_GB2312" w:cs="楷体_GB2312"/>
          <w:sz w:val="32"/>
          <w:szCs w:val="32"/>
        </w:rPr>
      </w:pPr>
      <w:r>
        <w:rPr>
          <w:rFonts w:hint="eastAsia" w:ascii="楷体_GB2312" w:hAnsi="楷体_GB2312" w:eastAsia="楷体_GB2312" w:cs="楷体_GB2312"/>
          <w:b/>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一般公共服务支出（类）728.40万元，占78.53%。</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社会保障和就业支出（类）109.87万元，占11.85%。</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卫生健康支出（类）48.85万元，占5.27%。</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住房保障支出（类）40.43万元，占4.36%。</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outlineLvl w:val="2"/>
        <w:rPr>
          <w:rFonts w:hint="eastAsia" w:ascii="楷体_GB2312" w:hAnsi="楷体_GB2312" w:eastAsia="楷体_GB2312" w:cs="楷体_GB2312"/>
          <w:sz w:val="32"/>
          <w:szCs w:val="32"/>
        </w:rPr>
      </w:pPr>
      <w:r>
        <w:rPr>
          <w:rFonts w:hint="eastAsia" w:ascii="楷体_GB2312" w:hAnsi="楷体_GB2312" w:eastAsia="楷体_GB2312" w:cs="楷体_GB2312"/>
          <w:b/>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textAlignment w:val="auto"/>
        <w:rPr>
          <w:rFonts w:ascii="仿宋_GB2312" w:eastAsia="仿宋_GB2312"/>
          <w:sz w:val="32"/>
          <w:szCs w:val="32"/>
        </w:rPr>
      </w:pPr>
      <w:r>
        <w:rPr>
          <w:rFonts w:ascii="仿宋_GB2312" w:eastAsia="仿宋_GB2312"/>
          <w:b w:val="0"/>
          <w:sz w:val="32"/>
          <w:szCs w:val="32"/>
        </w:rPr>
        <w:t>1</w:t>
      </w:r>
      <w:bookmarkStart w:id="0" w:name="_GoBack"/>
      <w:r>
        <w:rPr>
          <w:rFonts w:ascii="仿宋_GB2312" w:eastAsia="仿宋_GB2312"/>
          <w:b w:val="0"/>
          <w:sz w:val="32"/>
          <w:szCs w:val="32"/>
        </w:rPr>
        <w:t>、</w:t>
      </w:r>
      <w:bookmarkEnd w:id="0"/>
      <w:r>
        <w:rPr>
          <w:rFonts w:ascii="仿宋_GB2312" w:eastAsia="仿宋_GB2312"/>
          <w:b w:val="0"/>
          <w:sz w:val="32"/>
          <w:szCs w:val="32"/>
        </w:rPr>
        <w:t>一般公共服务支出（类）港澳台事务（款）行政运行（项）：支出决算数为499.37万元，比上年决算增加23.80万元，增长5.00%，主要原因是：增加1名在职人员及人员增资调整导致人员、公用经费增加。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textAlignment w:val="auto"/>
        <w:rPr>
          <w:rFonts w:ascii="仿宋_GB2312" w:eastAsia="仿宋_GB2312"/>
          <w:sz w:val="32"/>
          <w:szCs w:val="32"/>
        </w:rPr>
      </w:pPr>
      <w:r>
        <w:rPr>
          <w:rFonts w:ascii="仿宋_GB2312" w:eastAsia="仿宋_GB2312"/>
          <w:b w:val="0"/>
          <w:sz w:val="32"/>
          <w:szCs w:val="32"/>
        </w:rPr>
        <w:t>2、一般公共服务支出（类）统战事务（款）华侨事务（项）：支出决算数为229.03万元，比上年决算增加4.71万元，增长2.10%，主要原因是：年中追加格鲁吉亚-中国新疆商品展览会（随团出访）经费。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textAlignment w:val="auto"/>
        <w:rPr>
          <w:rFonts w:ascii="仿宋_GB2312" w:eastAsia="仿宋_GB2312"/>
          <w:sz w:val="32"/>
          <w:szCs w:val="32"/>
        </w:rPr>
      </w:pPr>
      <w:r>
        <w:rPr>
          <w:rFonts w:ascii="仿宋_GB2312" w:eastAsia="仿宋_GB2312"/>
          <w:b w:val="0"/>
          <w:sz w:val="32"/>
          <w:szCs w:val="32"/>
        </w:rPr>
        <w:t>3、社会保障和就业支出（类）行政事业单位养老支出（款）行政单位离退休（项）：支出决算数为47.94万元，比上年决算增加4.54万元，增长10.46%，主要原因是：离退休人员绩效奖金增加。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textAlignment w:val="auto"/>
        <w:rPr>
          <w:rFonts w:ascii="仿宋_GB2312" w:eastAsia="仿宋_GB2312"/>
          <w:sz w:val="32"/>
          <w:szCs w:val="32"/>
        </w:rPr>
      </w:pPr>
      <w:r>
        <w:rPr>
          <w:rFonts w:ascii="仿宋_GB2312" w:eastAsia="仿宋_GB2312"/>
          <w:b w:val="0"/>
          <w:sz w:val="32"/>
          <w:szCs w:val="32"/>
        </w:rPr>
        <w:t>4、社会保障和就业支出（类）行政事业单位养老支出（款）机关事业单位基本养老保险缴费支出（项）：支出决算数为53.91万元，比上年决算增加1.69万元，增长3.24%，主要原因是：增加1名在职人员及人员增资调整导致社会保障和就业支出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textAlignment w:val="auto"/>
        <w:rPr>
          <w:rFonts w:ascii="仿宋_GB2312" w:eastAsia="仿宋_GB2312"/>
          <w:sz w:val="32"/>
          <w:szCs w:val="32"/>
        </w:rPr>
      </w:pPr>
      <w:r>
        <w:rPr>
          <w:rFonts w:ascii="仿宋_GB2312" w:eastAsia="仿宋_GB2312"/>
          <w:b w:val="0"/>
          <w:sz w:val="32"/>
          <w:szCs w:val="32"/>
        </w:rPr>
        <w:t>5、社会保障和就业支出（类）行政事业单位养老支出（款）机关事业单位职业年金缴费支出（项）：支出决算数为8.03万元，比上年决算减少2.83万元，下降26.06%，主要原因是：退休人员级别降低，职业年金较上年减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textAlignment w:val="auto"/>
        <w:rPr>
          <w:rFonts w:ascii="仿宋_GB2312" w:eastAsia="仿宋_GB2312"/>
          <w:sz w:val="32"/>
          <w:szCs w:val="32"/>
        </w:rPr>
      </w:pPr>
      <w:r>
        <w:rPr>
          <w:rFonts w:ascii="仿宋_GB2312" w:eastAsia="仿宋_GB2312"/>
          <w:b w:val="0"/>
          <w:sz w:val="32"/>
          <w:szCs w:val="32"/>
        </w:rPr>
        <w:t>6、卫生健康支出（类）行政事业单位医疗（款）行政单位医疗（项）：支出决算数为25.27万元，比上年决算增加0.79万元，增长3.23%，主要原因是：增加1名在职人员及人员增资调整导致卫生健康支出增加。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textAlignment w:val="auto"/>
        <w:rPr>
          <w:rFonts w:ascii="仿宋_GB2312" w:eastAsia="仿宋_GB2312"/>
          <w:sz w:val="32"/>
          <w:szCs w:val="32"/>
        </w:rPr>
      </w:pPr>
      <w:r>
        <w:rPr>
          <w:rFonts w:ascii="仿宋_GB2312" w:eastAsia="仿宋_GB2312"/>
          <w:b w:val="0"/>
          <w:sz w:val="32"/>
          <w:szCs w:val="32"/>
        </w:rPr>
        <w:t>7、卫生健康支出（类）行政事业单位医疗（款）公务员医疗补助（项）：支出决算数为23.58万元，比上年决算增加0.73万元，增长3.19%，主要原因是：增加1名在职人员及人员增资调整导致卫生健康支出增加。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textAlignment w:val="auto"/>
        <w:rPr>
          <w:rFonts w:ascii="仿宋_GB2312" w:eastAsia="仿宋_GB2312"/>
          <w:sz w:val="32"/>
          <w:szCs w:val="32"/>
        </w:rPr>
      </w:pPr>
      <w:r>
        <w:rPr>
          <w:rFonts w:ascii="仿宋_GB2312" w:eastAsia="仿宋_GB2312"/>
          <w:b w:val="0"/>
          <w:sz w:val="32"/>
          <w:szCs w:val="32"/>
        </w:rPr>
        <w:t>8、住房保障支出（类）住房改革支出（款）住房公积金（项）：支出决算数为40.43万元，比上年决算增加1.26万元，增长3.22%，主要原因是：增加1名在职人员及人员增资调整导致住房保障支出增加。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698.53万元，其中：人员经费628.48万元，包括：基本工资、津贴补贴、奖金、机关事业单位基本养老保险缴费、职业年金缴费、职工基本医疗保险缴费、公务员医疗补助缴费、其他社会保障缴费、住房公积金、其他工资福利支出、退休费、奖励金和其他对个人和家庭的补助。</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公用经费70.06万元，包括：办公费、印刷费、手续费、水费、电费、邮电费、取暖费、物业管理费、差旅费、公务接待费、工会经费、福利费、公务用车运行维护费和其他商品和服务支出。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14.41万元，比上年增加4.42万元，增长44.24%，主要原因是：年中追加格鲁吉亚-中国新疆商品展览会（随团出访）经费。其中：因公出国（境）费支出4.27万元,占29.63%，比上年增加4.27万元，增长100%，主要原因是：年中追加格鲁吉亚-中国新疆商品展览会（随团出访）经费；公务用车购置及运行维护费支出10.00万元，占69.40%，比上年增加0.06万元，增长0.60%，主要原因是：我单位公务车辆老旧维修成本较高，导致公务用车购置及运行维护费支出增加；公务接待费支出0.14万元，占0.97%，比上年增加0.09万元，增长180.00%，主要原因是：因我会联谊联络、招商引资工作的特殊性，接待来访团较上年增加，在接待标准严格遵循规定的情况下，由于接待人数的增多导致相关费用较上年增加。</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因公出国（境）费支出4.27万元，开支内容包括我会一名领导干部随团出访2023（第九届）格鲁吉亚-中国新疆商品展览会经费。单位全年安排的因公出国（境）团组1个，因公出国（境）1人次。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10.00万元，其中：公务用车购置费0.00万元，公务用车运行维护费10.00万元。公务用车运行维护费开支内容包括公务用车燃油费、保险费、过路费、停车费和维修维护费等。公务用车购置数0辆，公务用车保有量4辆。国有资产占用情况中固定资产车辆4辆，与公务用车保有量差异原因是：国有资产占用情况中固定资产车辆与公务用车保有量无差异。</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公务接待费0.14万元，开支内容包括根据来访接待函安排接待一次工作餐，产生相关支出。单位全年安排的国内公务接待1批次，5人次。</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14.41万元，决算数14.41万元，预决算差异率0.00%，主要原因是：我会严格按照年初预算计划支出“三公”经费。其中：因公出国（境）费全年预算数4.27万元，决算数4.27万元，预决算差异率0.00%，主要原因是：我会严格按照追加预算计划支出因公出国境经费；公务用车购置费全年预算数0.00万元，决算数0.00万元，预决算差异率0.00%，主要原因是：我单位无公务用车购置费；公务用车运行维护费全年预算数10.00万元，决算数10.00万元，预决算差异率0.00%，主要原因是：我会在年初预算内支出公务用车运行费；公务接待费全年预算数0.14万元，决算数0.14万元，预决算差异率0.00%，主要原因是：我会在年初预算内支出公务接待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outlineLvl w:val="2"/>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维吾尔自治区归国华侨联合会部门（行政单位和参照公务员法管理事业单位）机关运行经费支出70.06万元，比上年减少1.36万元，下降1.90%，主要原因是：按照党政机关习惯过紧日子工作要求，勤俭节约办一切事业，严控机关运行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outlineLvl w:val="2"/>
        <w:rPr>
          <w:rFonts w:hint="eastAsia" w:ascii="楷体_GB2312" w:hAnsi="楷体_GB2312" w:eastAsia="楷体_GB2312" w:cs="楷体_GB2312"/>
          <w:sz w:val="32"/>
          <w:szCs w:val="32"/>
        </w:rPr>
      </w:pPr>
      <w:r>
        <w:rPr>
          <w:rFonts w:hint="eastAsia" w:ascii="楷体_GB2312" w:hAnsi="楷体_GB2312" w:eastAsia="楷体_GB2312" w:cs="楷体_GB2312"/>
          <w:b/>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2024年度政府采购支出总额18.67万元，其中：政府采购货物支出5.17万元、政府采购工程支出0.00万元、政府采购服务支出13.49万元。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授予中小企业合同金额16.81万元，占政府采购支出总额的90.04%，其中：授予小微企业合同金额16.81万元，占政府采购支出总额的90.04%。</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outlineLvl w:val="2"/>
        <w:rPr>
          <w:rFonts w:hint="eastAsia" w:ascii="楷体_GB2312" w:hAnsi="楷体_GB2312" w:eastAsia="楷体_GB2312" w:cs="楷体_GB2312"/>
          <w:sz w:val="32"/>
          <w:szCs w:val="32"/>
        </w:rPr>
      </w:pPr>
      <w:r>
        <w:rPr>
          <w:rFonts w:hint="eastAsia" w:ascii="楷体_GB2312" w:hAnsi="楷体_GB2312" w:eastAsia="楷体_GB2312" w:cs="楷体_GB2312"/>
          <w:b/>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0.00平方米，价值0.00万元。车辆4辆，价值123.48万元，其中：副部（省）级及以上领导用车0辆、主要负责人用车0辆、机要通信用车0辆、应急保障用车0辆、执法执勤用车0辆、特种专业技术用车0辆、离退休干部服务用车0辆、其他用车4辆，其他用车主要是：保障机关正常运转用车;单价100万元（含）以上设备（不含车辆）0台（套）。</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部门2024年度预算绩效管理形成整体支出绩效自评表1个，全年预算总额964.26万元，实际执行总额964.26万元；预算绩效评价项目3个，全年预算数246.77万元，全年执行数246.53万元。预算绩效管理取得的成效：保障侨联各项工作计划有序开展，规范项目资金使用，提高项目资金使用效益。发现的问题及原因：绩效目标完成情况良好，上半年执行进度缓慢，绩效目标设定及绩效的考核仍需进一步完善。下一步改进措施：强化绩效管理考核，将绩效考核目标任务层层分解落实，加强重点工作督查，对重点项目加强日常监管，开展专项督查及建立健全绩效问责机制，充分体现财政资金使用主体责任。具体附部门整体支出绩效自评表，项目支出绩效自评表和部门评价报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本部门无其他需说明事项。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line="60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center"/>
        <w:textAlignment w:val="auto"/>
        <w:outlineLvl w:val="0"/>
        <w:rPr>
          <w:rFonts w:ascii="黑体" w:eastAsia="黑体"/>
          <w:sz w:val="32"/>
          <w:szCs w:val="32"/>
        </w:rPr>
      </w:pP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60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jc w:val="center"/>
        <w:textAlignment w:val="auto"/>
        <w:outlineLvl w:val="0"/>
        <w:rPr>
          <w:rFonts w:ascii="黑体" w:eastAsia="黑体"/>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footerReference r:id="rId3" w:type="default"/>
      <w:pgSz w:w="12240" w:h="15840"/>
      <w:pgMar w:top="2098" w:right="1474" w:bottom="1984" w:left="1587" w:header="720" w:footer="720" w:gutter="0"/>
      <w:pgNumType w:fmt="numberInDash" w:start="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2</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sz w:val="24"/>
                        <w:szCs w:val="24"/>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2</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A92ED"/>
    <w:multiLevelType w:val="singleLevel"/>
    <w:tmpl w:val="0E1A92ED"/>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50238"/>
    <w:rsid w:val="1F5742A1"/>
    <w:rsid w:val="22550AC4"/>
    <w:rsid w:val="4CBF021B"/>
    <w:rsid w:val="4E50217C"/>
    <w:rsid w:val="6BDF4936"/>
    <w:rsid w:val="6C551D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78</TotalTime>
  <ScaleCrop>false</ScaleCrop>
  <LinksUpToDate>false</LinksUpToDate>
  <Application>WPS Office_10.1.0.7566_F1E327BC-269C-435d-A152-05C5408002CA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2025-08-21T04:35:00Z</dcterms:created>
  <dc:creator>财务室2</dc:creator>
  <cp:lastModifiedBy>财务室2</cp:lastModifiedBy>
  <cp:lastPrinted>2025-08-27T11:51:55Z</cp:lastPrinted>
  <dcterms:modified xsi:type="dcterms:W3CDTF">2025-08-27T11:56:15Z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