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CD" w:rsidRDefault="002064CD">
      <w:pPr>
        <w:spacing w:line="540" w:lineRule="exact"/>
        <w:jc w:val="center"/>
        <w:rPr>
          <w:rFonts w:ascii="方正小标宋_GBK" w:eastAsia="方正小标宋_GBK" w:hAnsi="华文中宋" w:cs="宋体"/>
          <w:b/>
          <w:kern w:val="0"/>
          <w:sz w:val="48"/>
          <w:szCs w:val="48"/>
        </w:rPr>
      </w:pPr>
    </w:p>
    <w:p w:rsidR="002064CD" w:rsidRDefault="002064CD">
      <w:pPr>
        <w:spacing w:line="540" w:lineRule="exact"/>
        <w:jc w:val="center"/>
        <w:rPr>
          <w:rFonts w:ascii="方正小标宋_GBK" w:eastAsia="方正小标宋_GBK" w:hAnsi="华文中宋" w:cs="宋体"/>
          <w:b/>
          <w:kern w:val="0"/>
          <w:sz w:val="48"/>
          <w:szCs w:val="48"/>
        </w:rPr>
      </w:pPr>
    </w:p>
    <w:p w:rsidR="002064CD" w:rsidRDefault="002064CD">
      <w:pPr>
        <w:spacing w:line="540" w:lineRule="exact"/>
        <w:jc w:val="center"/>
        <w:rPr>
          <w:rFonts w:ascii="方正小标宋_GBK" w:eastAsia="方正小标宋_GBK" w:hAnsi="华文中宋" w:cs="宋体"/>
          <w:b/>
          <w:kern w:val="0"/>
          <w:sz w:val="48"/>
          <w:szCs w:val="48"/>
        </w:rPr>
      </w:pPr>
    </w:p>
    <w:p w:rsidR="002064CD" w:rsidRDefault="002064CD">
      <w:pPr>
        <w:spacing w:line="540" w:lineRule="exact"/>
        <w:jc w:val="center"/>
        <w:rPr>
          <w:rFonts w:ascii="方正小标宋_GBK" w:eastAsia="方正小标宋_GBK" w:hAnsi="华文中宋" w:cs="宋体"/>
          <w:b/>
          <w:kern w:val="0"/>
          <w:sz w:val="48"/>
          <w:szCs w:val="48"/>
        </w:rPr>
      </w:pPr>
    </w:p>
    <w:p w:rsidR="002064CD" w:rsidRDefault="002064CD">
      <w:pPr>
        <w:spacing w:line="540" w:lineRule="exact"/>
        <w:jc w:val="center"/>
        <w:rPr>
          <w:rFonts w:ascii="方正小标宋_GBK" w:eastAsia="方正小标宋_GBK" w:hAnsi="华文中宋" w:cs="宋体"/>
          <w:b/>
          <w:kern w:val="0"/>
          <w:sz w:val="48"/>
          <w:szCs w:val="48"/>
        </w:rPr>
      </w:pPr>
    </w:p>
    <w:p w:rsidR="002064CD" w:rsidRDefault="002064CD">
      <w:pPr>
        <w:spacing w:line="540" w:lineRule="exact"/>
        <w:jc w:val="center"/>
        <w:rPr>
          <w:rFonts w:ascii="方正小标宋_GBK" w:eastAsia="方正小标宋_GBK" w:hAnsi="华文中宋" w:cs="宋体"/>
          <w:b/>
          <w:kern w:val="0"/>
          <w:sz w:val="48"/>
          <w:szCs w:val="48"/>
        </w:rPr>
      </w:pPr>
    </w:p>
    <w:p w:rsidR="002064CD" w:rsidRDefault="00C2260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自治区本级部门单位整体支出绩效</w:t>
      </w:r>
    </w:p>
    <w:p w:rsidR="002064CD" w:rsidRDefault="00C2260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2064CD" w:rsidRDefault="002064CD">
      <w:pPr>
        <w:spacing w:line="540" w:lineRule="exact"/>
        <w:jc w:val="center"/>
        <w:rPr>
          <w:rFonts w:ascii="华文中宋" w:eastAsia="华文中宋" w:hAnsi="华文中宋" w:cs="宋体"/>
          <w:b/>
          <w:kern w:val="0"/>
          <w:sz w:val="52"/>
          <w:szCs w:val="52"/>
        </w:rPr>
      </w:pPr>
    </w:p>
    <w:p w:rsidR="002064CD" w:rsidRDefault="00C2260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2024</w:t>
      </w:r>
      <w:r>
        <w:rPr>
          <w:rFonts w:eastAsia="仿宋_GB2312" w:hAnsi="宋体" w:cs="宋体" w:hint="eastAsia"/>
          <w:kern w:val="0"/>
          <w:sz w:val="36"/>
          <w:szCs w:val="36"/>
        </w:rPr>
        <w:t>年度）</w:t>
      </w:r>
    </w:p>
    <w:p w:rsidR="002064CD" w:rsidRDefault="002064CD">
      <w:pPr>
        <w:spacing w:line="540" w:lineRule="exact"/>
        <w:jc w:val="center"/>
        <w:rPr>
          <w:rFonts w:eastAsia="仿宋_GB2312" w:hAnsi="宋体" w:cs="宋体"/>
          <w:kern w:val="0"/>
          <w:sz w:val="30"/>
          <w:szCs w:val="30"/>
        </w:rPr>
      </w:pPr>
    </w:p>
    <w:p w:rsidR="002064CD" w:rsidRDefault="002064CD">
      <w:pPr>
        <w:spacing w:line="540" w:lineRule="exact"/>
        <w:jc w:val="center"/>
        <w:rPr>
          <w:rFonts w:eastAsia="仿宋_GB2312" w:hAnsi="宋体" w:cs="宋体"/>
          <w:kern w:val="0"/>
          <w:sz w:val="30"/>
          <w:szCs w:val="30"/>
        </w:rPr>
      </w:pPr>
    </w:p>
    <w:p w:rsidR="002064CD" w:rsidRDefault="002064CD">
      <w:pPr>
        <w:spacing w:line="540" w:lineRule="exact"/>
        <w:jc w:val="center"/>
        <w:rPr>
          <w:rFonts w:eastAsia="仿宋_GB2312" w:hAnsi="宋体" w:cs="宋体"/>
          <w:kern w:val="0"/>
          <w:sz w:val="30"/>
          <w:szCs w:val="30"/>
        </w:rPr>
      </w:pPr>
    </w:p>
    <w:p w:rsidR="002064CD" w:rsidRDefault="002064CD">
      <w:pPr>
        <w:spacing w:line="540" w:lineRule="exact"/>
        <w:jc w:val="center"/>
        <w:rPr>
          <w:rFonts w:eastAsia="仿宋_GB2312" w:hAnsi="宋体" w:cs="宋体"/>
          <w:kern w:val="0"/>
          <w:sz w:val="30"/>
          <w:szCs w:val="30"/>
        </w:rPr>
      </w:pPr>
    </w:p>
    <w:p w:rsidR="002064CD" w:rsidRDefault="002064CD">
      <w:pPr>
        <w:spacing w:line="540" w:lineRule="exact"/>
        <w:jc w:val="center"/>
        <w:rPr>
          <w:rFonts w:eastAsia="仿宋_GB2312" w:hAnsi="宋体" w:cs="宋体"/>
          <w:kern w:val="0"/>
          <w:sz w:val="30"/>
          <w:szCs w:val="30"/>
        </w:rPr>
      </w:pPr>
    </w:p>
    <w:p w:rsidR="002064CD" w:rsidRDefault="002064CD">
      <w:pPr>
        <w:spacing w:line="540" w:lineRule="exact"/>
        <w:rPr>
          <w:rFonts w:eastAsia="仿宋_GB2312" w:hAnsi="宋体" w:cs="宋体"/>
          <w:kern w:val="0"/>
          <w:sz w:val="30"/>
          <w:szCs w:val="30"/>
        </w:rPr>
      </w:pPr>
    </w:p>
    <w:p w:rsidR="002064CD" w:rsidRDefault="00C22606">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2064CD" w:rsidRPr="00756FAF" w:rsidRDefault="00C22606" w:rsidP="00756FA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部门单位名称（公章）：</w:t>
      </w:r>
      <w:r w:rsidR="00756FAF" w:rsidRPr="00756FAF">
        <w:rPr>
          <w:rFonts w:ascii="仿宋_GB2312" w:eastAsia="仿宋_GB2312" w:hAnsi="仿宋_GB2312" w:cs="仿宋_GB2312" w:hint="eastAsia"/>
          <w:sz w:val="32"/>
          <w:szCs w:val="32"/>
        </w:rPr>
        <w:t>中共新疆维吾尔自治区委员会政策研究室(改革办)</w:t>
      </w:r>
    </w:p>
    <w:p w:rsidR="002064CD" w:rsidRDefault="00C22606" w:rsidP="00756FA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sidR="00756FAF">
        <w:rPr>
          <w:rFonts w:eastAsia="仿宋_GB2312" w:hAnsi="宋体" w:cs="宋体" w:hint="eastAsia"/>
          <w:kern w:val="0"/>
          <w:sz w:val="36"/>
          <w:szCs w:val="36"/>
        </w:rPr>
        <w:t>2025</w:t>
      </w:r>
      <w:r>
        <w:rPr>
          <w:rFonts w:eastAsia="仿宋_GB2312" w:hAnsi="宋体" w:cs="宋体" w:hint="eastAsia"/>
          <w:kern w:val="0"/>
          <w:sz w:val="36"/>
          <w:szCs w:val="36"/>
        </w:rPr>
        <w:t>年</w:t>
      </w:r>
      <w:r w:rsidR="00756FAF">
        <w:rPr>
          <w:rFonts w:eastAsia="仿宋_GB2312" w:hAnsi="宋体" w:cs="宋体" w:hint="eastAsia"/>
          <w:kern w:val="0"/>
          <w:sz w:val="36"/>
          <w:szCs w:val="36"/>
        </w:rPr>
        <w:t>2</w:t>
      </w:r>
      <w:r>
        <w:rPr>
          <w:rFonts w:eastAsia="仿宋_GB2312" w:hAnsi="宋体" w:cs="宋体" w:hint="eastAsia"/>
          <w:kern w:val="0"/>
          <w:sz w:val="36"/>
          <w:szCs w:val="36"/>
        </w:rPr>
        <w:t>月</w:t>
      </w:r>
      <w:r w:rsidR="00756FAF">
        <w:rPr>
          <w:rFonts w:eastAsia="仿宋_GB2312" w:hAnsi="宋体" w:cs="宋体" w:hint="eastAsia"/>
          <w:kern w:val="0"/>
          <w:sz w:val="36"/>
          <w:szCs w:val="36"/>
        </w:rPr>
        <w:t>10</w:t>
      </w:r>
      <w:r>
        <w:rPr>
          <w:rFonts w:eastAsia="仿宋_GB2312" w:hAnsi="宋体" w:cs="宋体" w:hint="eastAsia"/>
          <w:kern w:val="0"/>
          <w:sz w:val="36"/>
          <w:szCs w:val="36"/>
        </w:rPr>
        <w:t>日</w:t>
      </w:r>
    </w:p>
    <w:p w:rsidR="002064CD" w:rsidRDefault="002064CD">
      <w:pPr>
        <w:spacing w:line="700" w:lineRule="exact"/>
        <w:jc w:val="left"/>
        <w:rPr>
          <w:rFonts w:eastAsia="仿宋_GB2312" w:hAnsi="宋体" w:cs="宋体"/>
          <w:kern w:val="0"/>
          <w:sz w:val="36"/>
          <w:szCs w:val="36"/>
        </w:rPr>
      </w:pPr>
    </w:p>
    <w:p w:rsidR="002064CD" w:rsidRDefault="002064CD">
      <w:pPr>
        <w:spacing w:line="700" w:lineRule="exact"/>
        <w:jc w:val="left"/>
        <w:rPr>
          <w:rFonts w:eastAsia="仿宋_GB2312" w:hAnsi="宋体" w:cs="宋体"/>
          <w:kern w:val="0"/>
          <w:sz w:val="36"/>
          <w:szCs w:val="36"/>
        </w:rPr>
      </w:pPr>
    </w:p>
    <w:p w:rsidR="00756FAF" w:rsidRDefault="00756FAF">
      <w:pPr>
        <w:spacing w:line="700" w:lineRule="exact"/>
        <w:jc w:val="left"/>
        <w:rPr>
          <w:rFonts w:eastAsia="仿宋_GB2312" w:hAnsi="宋体" w:cs="宋体"/>
          <w:kern w:val="0"/>
          <w:sz w:val="36"/>
          <w:szCs w:val="36"/>
        </w:rPr>
      </w:pPr>
    </w:p>
    <w:p w:rsidR="00756FAF" w:rsidRDefault="00756FAF">
      <w:pPr>
        <w:spacing w:line="700" w:lineRule="exact"/>
        <w:jc w:val="left"/>
        <w:rPr>
          <w:rFonts w:eastAsia="仿宋_GB2312" w:hAnsi="宋体" w:cs="宋体"/>
          <w:kern w:val="0"/>
          <w:sz w:val="36"/>
          <w:szCs w:val="36"/>
        </w:rPr>
      </w:pPr>
    </w:p>
    <w:p w:rsidR="002064CD" w:rsidRDefault="002064CD">
      <w:pPr>
        <w:spacing w:line="700" w:lineRule="exact"/>
        <w:jc w:val="left"/>
        <w:rPr>
          <w:rFonts w:eastAsia="仿宋_GB2312" w:hAnsi="宋体" w:cs="宋体"/>
          <w:kern w:val="0"/>
          <w:sz w:val="36"/>
          <w:szCs w:val="36"/>
        </w:rPr>
      </w:pPr>
    </w:p>
    <w:p w:rsidR="002064CD" w:rsidRPr="007C195A" w:rsidRDefault="00C22606">
      <w:pPr>
        <w:numPr>
          <w:ilvl w:val="0"/>
          <w:numId w:val="1"/>
        </w:numPr>
        <w:snapToGrid w:val="0"/>
        <w:spacing w:line="540" w:lineRule="exact"/>
        <w:rPr>
          <w:rFonts w:ascii="仿宋" w:eastAsia="仿宋" w:hAnsi="仿宋" w:cs="仿宋_GB2312"/>
          <w:b/>
          <w:color w:val="333333"/>
          <w:sz w:val="32"/>
          <w:szCs w:val="32"/>
        </w:rPr>
      </w:pPr>
      <w:r w:rsidRPr="007C195A">
        <w:rPr>
          <w:rFonts w:ascii="黑体" w:eastAsia="黑体" w:hAnsi="黑体" w:cs="仿宋_GB2312" w:hint="eastAsia"/>
          <w:b/>
          <w:sz w:val="32"/>
          <w:szCs w:val="32"/>
        </w:rPr>
        <w:t>基本</w:t>
      </w:r>
      <w:r w:rsidRPr="007C195A">
        <w:rPr>
          <w:rFonts w:ascii="黑体" w:eastAsia="黑体" w:hAnsi="黑体" w:cs="仿宋_GB2312" w:hint="eastAsia"/>
          <w:b/>
          <w:color w:val="333333"/>
          <w:sz w:val="32"/>
          <w:szCs w:val="32"/>
        </w:rPr>
        <w:t>概况</w:t>
      </w:r>
      <w:r>
        <w:rPr>
          <w:rFonts w:ascii="仿宋_GB2312" w:eastAsia="仿宋_GB2312" w:hAnsi="仿宋_GB2312" w:cs="仿宋_GB2312" w:hint="eastAsia"/>
          <w:b/>
          <w:color w:val="333333"/>
          <w:sz w:val="32"/>
          <w:szCs w:val="32"/>
        </w:rPr>
        <w:br/>
      </w:r>
      <w:r w:rsidRPr="007C195A">
        <w:rPr>
          <w:rFonts w:ascii="仿宋" w:eastAsia="仿宋" w:hAnsi="仿宋" w:cs="仿宋_GB2312" w:hint="eastAsia"/>
          <w:b/>
          <w:sz w:val="32"/>
          <w:szCs w:val="32"/>
        </w:rPr>
        <w:t>部门单位基本情况:</w:t>
      </w:r>
    </w:p>
    <w:p w:rsidR="002064CD" w:rsidRPr="007C195A" w:rsidRDefault="00C22606" w:rsidP="007C195A">
      <w:pPr>
        <w:spacing w:line="600" w:lineRule="exact"/>
        <w:ind w:left="648" w:firstLineChars="200" w:firstLine="640"/>
        <w:jc w:val="left"/>
        <w:rPr>
          <w:rFonts w:ascii="仿宋" w:eastAsia="仿宋" w:hAnsi="仿宋" w:cs="仿宋_GB2312"/>
          <w:sz w:val="32"/>
          <w:szCs w:val="32"/>
        </w:rPr>
      </w:pPr>
      <w:r w:rsidRPr="007C195A">
        <w:rPr>
          <w:rFonts w:ascii="仿宋" w:eastAsia="仿宋" w:hAnsi="仿宋" w:cs="仿宋_GB2312" w:hint="eastAsia"/>
          <w:sz w:val="32"/>
          <w:szCs w:val="32"/>
        </w:rPr>
        <w:t>2024年中共新疆维吾尔自治区委员会政策研究室(改革办)人员编制71人,</w:t>
      </w:r>
      <w:r w:rsidR="001D11FE" w:rsidRPr="001D11FE">
        <w:rPr>
          <w:rFonts w:ascii="仿宋" w:eastAsia="仿宋" w:hAnsi="仿宋" w:cs="仿宋_GB2312" w:hint="eastAsia"/>
          <w:sz w:val="32"/>
          <w:szCs w:val="32"/>
        </w:rPr>
        <w:t xml:space="preserve"> </w:t>
      </w:r>
      <w:r w:rsidR="001D11FE" w:rsidRPr="007C195A">
        <w:rPr>
          <w:rFonts w:ascii="仿宋" w:eastAsia="仿宋" w:hAnsi="仿宋" w:cs="仿宋_GB2312" w:hint="eastAsia"/>
          <w:sz w:val="32"/>
          <w:szCs w:val="32"/>
        </w:rPr>
        <w:t>实有</w:t>
      </w:r>
      <w:r w:rsidR="001D11FE">
        <w:rPr>
          <w:rFonts w:ascii="仿宋" w:eastAsia="仿宋" w:hAnsi="仿宋" w:cs="仿宋_GB2312" w:hint="eastAsia"/>
          <w:sz w:val="32"/>
          <w:szCs w:val="32"/>
        </w:rPr>
        <w:t>人数92人，其中：</w:t>
      </w:r>
      <w:r w:rsidRPr="007C195A">
        <w:rPr>
          <w:rFonts w:ascii="仿宋" w:eastAsia="仿宋" w:hAnsi="仿宋" w:cs="仿宋_GB2312" w:hint="eastAsia"/>
          <w:sz w:val="32"/>
          <w:szCs w:val="32"/>
        </w:rPr>
        <w:t>实有在职人员55人，增加3人；退休37人,增加1人；离休0 人。变动原因：今年新招录5人，调入1人，辞职1人，退休1人，调出1人。</w:t>
      </w:r>
      <w:r w:rsidRPr="007C195A">
        <w:rPr>
          <w:rFonts w:ascii="仿宋" w:eastAsia="仿宋" w:hAnsi="仿宋" w:cs="仿宋_GB2312" w:hint="eastAsia"/>
          <w:sz w:val="32"/>
          <w:szCs w:val="32"/>
        </w:rPr>
        <w:br/>
        <w:t xml:space="preserve">    内设处室为15个，分别是：办公室、综合研究处、政治研究处、经济研究处、社会发展研究处、农村研究处、农村固定观察点办公室、信息宣传处、联络处、协调一处、协调二处、督察处、人事处、机关党委、机关纪委。当年无变动，与上年保持一致。 </w:t>
      </w:r>
      <w:r w:rsidRPr="007C195A">
        <w:rPr>
          <w:rFonts w:ascii="仿宋" w:eastAsia="仿宋" w:hAnsi="仿宋" w:cs="仿宋_GB2312" w:hint="eastAsia"/>
          <w:sz w:val="32"/>
          <w:szCs w:val="32"/>
        </w:rPr>
        <w:br/>
        <w:t xml:space="preserve">    </w:t>
      </w:r>
      <w:r w:rsidRPr="007C195A">
        <w:rPr>
          <w:rFonts w:ascii="仿宋" w:eastAsia="仿宋" w:hAnsi="仿宋" w:cs="仿宋_GB2312" w:hint="eastAsia"/>
          <w:b/>
          <w:sz w:val="32"/>
          <w:szCs w:val="32"/>
        </w:rPr>
        <w:t>主要职能</w:t>
      </w:r>
      <w:r w:rsidR="007C195A" w:rsidRPr="007C195A">
        <w:rPr>
          <w:rFonts w:ascii="仿宋" w:eastAsia="仿宋" w:hAnsi="仿宋" w:cs="仿宋_GB2312" w:hint="eastAsia"/>
          <w:b/>
          <w:sz w:val="32"/>
          <w:szCs w:val="32"/>
        </w:rPr>
        <w:t>:</w:t>
      </w:r>
      <w:r w:rsidRPr="007C195A">
        <w:rPr>
          <w:rFonts w:ascii="仿宋" w:eastAsia="仿宋" w:hAnsi="仿宋" w:cs="仿宋_GB2312" w:hint="eastAsia"/>
          <w:sz w:val="32"/>
          <w:szCs w:val="32"/>
        </w:rPr>
        <w:t>一是根据自治区党委指示，起草、参与起草、修改或组织协调有关部门共同起草、修改自治区党委、自治区人民政府有关重要文稿；二是根据自治区党委的意图和部署，围绕党委中心工作，组织力量对自治区政治、经济、党建等方面的重大问题进行调查研究，提出意见和建议，供自治区党委决策参考；三是组织撰写宣传、阐释党的路线方针政策的文章和著作；四是完成自治区党委交办的其他任务；五是根据自治区党委全面深化改革委员会要求，统筹协调有关方面制定自治区</w:t>
      </w:r>
      <w:r w:rsidRPr="007C195A">
        <w:rPr>
          <w:rFonts w:ascii="仿宋" w:eastAsia="仿宋" w:hAnsi="仿宋" w:cs="仿宋_GB2312" w:hint="eastAsia"/>
          <w:sz w:val="32"/>
          <w:szCs w:val="32"/>
        </w:rPr>
        <w:lastRenderedPageBreak/>
        <w:t>改革方案和措施，协调提出中央中长期改革规划自治区贯彻落实意见，协调推进兵地、军地及跨专项小组改革任务落实；六是负责对各专项小组和各地各部门全面深化改革工作的统筹、协调、督促、检查、绩效考核，总结宣传改革经验。</w:t>
      </w:r>
      <w:bookmarkStart w:id="0" w:name="_Hlk43849111"/>
      <w:bookmarkEnd w:id="0"/>
    </w:p>
    <w:p w:rsidR="002064CD" w:rsidRPr="007C195A" w:rsidRDefault="00C22606" w:rsidP="007C195A">
      <w:pPr>
        <w:spacing w:line="600" w:lineRule="exact"/>
        <w:ind w:firstLineChars="400" w:firstLine="1285"/>
        <w:jc w:val="left"/>
        <w:rPr>
          <w:rFonts w:ascii="仿宋" w:eastAsia="仿宋" w:hAnsi="仿宋" w:cs="仿宋_GB2312"/>
          <w:b/>
          <w:color w:val="333333"/>
          <w:sz w:val="32"/>
          <w:szCs w:val="32"/>
          <w:shd w:val="clear" w:color="auto" w:fill="FFFFFF"/>
        </w:rPr>
      </w:pPr>
      <w:r w:rsidRPr="007C195A">
        <w:rPr>
          <w:rFonts w:ascii="仿宋" w:eastAsia="仿宋" w:hAnsi="仿宋" w:cs="仿宋_GB2312" w:hint="eastAsia"/>
          <w:b/>
          <w:color w:val="333333"/>
          <w:sz w:val="32"/>
          <w:szCs w:val="32"/>
        </w:rPr>
        <w:t>部门单位年度重点工作:</w:t>
      </w:r>
    </w:p>
    <w:p w:rsidR="002064CD" w:rsidRPr="007C195A" w:rsidRDefault="00C22606" w:rsidP="007C195A">
      <w:pPr>
        <w:spacing w:line="600" w:lineRule="exact"/>
        <w:ind w:left="648" w:firstLineChars="200" w:firstLine="640"/>
        <w:jc w:val="left"/>
        <w:rPr>
          <w:rFonts w:ascii="仿宋" w:eastAsia="仿宋" w:hAnsi="仿宋" w:cs="仿宋_GB2312"/>
          <w:sz w:val="32"/>
          <w:szCs w:val="32"/>
        </w:rPr>
      </w:pPr>
      <w:r w:rsidRPr="007C195A">
        <w:rPr>
          <w:rFonts w:ascii="仿宋" w:eastAsia="仿宋" w:hAnsi="仿宋" w:cs="仿宋_GB2312" w:hint="eastAsia"/>
          <w:sz w:val="32"/>
          <w:szCs w:val="32"/>
        </w:rPr>
        <w:t>自治区党委政研室（改革办）坚定不移围绕中心、服务大局，在自治区党委的坚强领导下，积极主动服务自治区党委工作大局，扎实做好文稿起草、调查研究、深化改革、政策宣传、机关党建、驻村扶贫、结亲联谊等工作，为自治区党委决策提供参谋咨询，为自治区党委工作运转提供有力支撑，为推进全区稳定发展作出积极贡献。</w:t>
      </w:r>
      <w:r w:rsidRPr="007C195A">
        <w:rPr>
          <w:rFonts w:ascii="仿宋" w:eastAsia="仿宋" w:hAnsi="仿宋" w:cs="仿宋_GB2312" w:hint="eastAsia"/>
          <w:sz w:val="32"/>
          <w:szCs w:val="32"/>
        </w:rPr>
        <w:br/>
        <w:t xml:space="preserve">    2024年，在自治区党委坚强领导下，政研室(改革办)领导班子坚持以习近平新时代中国特色社会主义思想为指导,深入开展学习贯彻习近平新时代中国特色社会主义思想主题教育，聚焦完整准确全面贯彻新时代党的治疆方略，紧贴中心服务大局，履职尽责、担当作为，统筹做好综合文稿、调查研究深化改革、机关党建、信息宣传、法治建设、服务群众等工作，按照“贴得紧、跟得上、有创新”的要求，认真负责、科学严谨地研究起草重要文稿，有力有效地服务了自治区党委中心工作，系统部署14个方面75条改革任务，细化439项具</w:t>
      </w:r>
      <w:r w:rsidRPr="007C195A">
        <w:rPr>
          <w:rFonts w:ascii="仿宋" w:eastAsia="仿宋" w:hAnsi="仿宋" w:cs="仿宋_GB2312" w:hint="eastAsia"/>
          <w:sz w:val="32"/>
          <w:szCs w:val="32"/>
        </w:rPr>
        <w:lastRenderedPageBreak/>
        <w:t xml:space="preserve">体改革举措，撰拟形成调查研究报告 15篇，编印《新疆工作》6 期,深入学习宣传习近平新时代中国特色社会主义思相，研究阐释党中央大政方针、新时代党的治疆方略和自治区党委工作部署，发挥理论宣传和政策解读作用。主要工作成果为： </w:t>
      </w:r>
      <w:r w:rsidRPr="007C195A">
        <w:rPr>
          <w:rFonts w:ascii="仿宋" w:eastAsia="仿宋" w:hAnsi="仿宋" w:cs="仿宋_GB2312" w:hint="eastAsia"/>
          <w:sz w:val="32"/>
          <w:szCs w:val="32"/>
        </w:rPr>
        <w:br/>
        <w:t xml:space="preserve">    1.把政治学习与业务研究紧密结合起来，在学深悟透习近平新时代中国特色社会主义思想、完整准确全面贯彻新时代党的治疆方略上持续用力。 </w:t>
      </w:r>
      <w:r w:rsidRPr="007C195A">
        <w:rPr>
          <w:rFonts w:ascii="仿宋" w:eastAsia="仿宋" w:hAnsi="仿宋" w:cs="仿宋_GB2312" w:hint="eastAsia"/>
          <w:sz w:val="32"/>
          <w:szCs w:val="32"/>
        </w:rPr>
        <w:br/>
        <w:t xml:space="preserve">    2.围绕党委中心工作，认真做好重要文稿服务，自党当好党委的参谋助手。 </w:t>
      </w:r>
      <w:r w:rsidRPr="007C195A">
        <w:rPr>
          <w:rFonts w:ascii="仿宋" w:eastAsia="仿宋" w:hAnsi="仿宋" w:cs="仿宋_GB2312" w:hint="eastAsia"/>
          <w:sz w:val="32"/>
          <w:szCs w:val="32"/>
        </w:rPr>
        <w:br/>
        <w:t xml:space="preserve">    3.开展对策研究，积极服务自治区党委重大决策。 </w:t>
      </w:r>
      <w:r w:rsidRPr="007C195A">
        <w:rPr>
          <w:rFonts w:ascii="仿宋" w:eastAsia="仿宋" w:hAnsi="仿宋" w:cs="仿宋_GB2312" w:hint="eastAsia"/>
          <w:sz w:val="32"/>
          <w:szCs w:val="32"/>
        </w:rPr>
        <w:br/>
        <w:t xml:space="preserve">    4.落实中央改革部暑，主动谋划推动全疆改革工作。 </w:t>
      </w:r>
      <w:r w:rsidRPr="007C195A">
        <w:rPr>
          <w:rFonts w:ascii="仿宋" w:eastAsia="仿宋" w:hAnsi="仿宋" w:cs="仿宋_GB2312" w:hint="eastAsia"/>
          <w:sz w:val="32"/>
          <w:szCs w:val="32"/>
        </w:rPr>
        <w:br/>
        <w:t xml:space="preserve">    5.严格执行政治机关标准，持之以恒抓好政研室（改革办）自身建设。</w:t>
      </w:r>
      <w:bookmarkStart w:id="1" w:name="_GoBack"/>
      <w:bookmarkEnd w:id="1"/>
    </w:p>
    <w:p w:rsidR="002064CD" w:rsidRPr="007C195A" w:rsidRDefault="00C22606" w:rsidP="007C195A">
      <w:pPr>
        <w:spacing w:line="600" w:lineRule="exact"/>
        <w:ind w:left="648" w:firstLineChars="200" w:firstLine="643"/>
        <w:jc w:val="left"/>
        <w:rPr>
          <w:rFonts w:ascii="仿宋" w:eastAsia="仿宋" w:hAnsi="仿宋" w:cs="仿宋_GB2312"/>
          <w:b/>
          <w:color w:val="333333"/>
          <w:sz w:val="32"/>
          <w:szCs w:val="32"/>
          <w:shd w:val="clear" w:color="auto" w:fill="FFFFFF"/>
        </w:rPr>
      </w:pPr>
      <w:r w:rsidRPr="007C195A">
        <w:rPr>
          <w:rFonts w:ascii="仿宋" w:eastAsia="仿宋" w:hAnsi="仿宋" w:cs="仿宋_GB2312" w:hint="eastAsia"/>
          <w:b/>
          <w:color w:val="333333"/>
          <w:sz w:val="32"/>
          <w:szCs w:val="32"/>
        </w:rPr>
        <w:t>部门单位整体预算规模及安排情况:</w:t>
      </w:r>
    </w:p>
    <w:p w:rsidR="002064CD" w:rsidRPr="007C195A" w:rsidRDefault="00C22606" w:rsidP="007C195A">
      <w:pPr>
        <w:spacing w:line="600" w:lineRule="exact"/>
        <w:ind w:left="648" w:firstLineChars="200" w:firstLine="640"/>
        <w:jc w:val="left"/>
        <w:rPr>
          <w:rFonts w:ascii="仿宋" w:eastAsia="仿宋" w:hAnsi="仿宋" w:cs="仿宋_GB2312"/>
          <w:color w:val="333333"/>
          <w:sz w:val="32"/>
          <w:szCs w:val="32"/>
          <w:shd w:val="clear" w:color="auto" w:fill="FFFFFF"/>
        </w:rPr>
      </w:pPr>
      <w:r w:rsidRPr="007C195A">
        <w:rPr>
          <w:rFonts w:ascii="仿宋" w:eastAsia="仿宋" w:hAnsi="仿宋" w:cs="仿宋_GB2312" w:hint="eastAsia"/>
          <w:sz w:val="32"/>
          <w:szCs w:val="32"/>
        </w:rPr>
        <w:t xml:space="preserve"> 2024年年初预算金额为1922.89万元，全年预算数1899.13万元。本年支出1902.47万元。其中：基本支出1424.33万元，项目支出478.14万元。</w:t>
      </w:r>
    </w:p>
    <w:p w:rsidR="002064CD" w:rsidRPr="007C195A" w:rsidRDefault="00C22606">
      <w:pPr>
        <w:numPr>
          <w:ilvl w:val="0"/>
          <w:numId w:val="1"/>
        </w:numPr>
        <w:snapToGrid w:val="0"/>
        <w:spacing w:line="540" w:lineRule="exact"/>
        <w:rPr>
          <w:rFonts w:ascii="黑体" w:eastAsia="黑体" w:hAnsi="黑体" w:cs="仿宋_GB2312"/>
          <w:color w:val="333333"/>
          <w:sz w:val="32"/>
          <w:szCs w:val="32"/>
        </w:rPr>
      </w:pPr>
      <w:r w:rsidRPr="007C195A">
        <w:rPr>
          <w:rFonts w:ascii="黑体" w:eastAsia="黑体" w:hAnsi="黑体" w:cs="仿宋_GB2312" w:hint="eastAsia"/>
          <w:color w:val="333333"/>
          <w:sz w:val="32"/>
          <w:szCs w:val="32"/>
        </w:rPr>
        <w:t>部门单位整体支出管理及使用情况</w:t>
      </w:r>
    </w:p>
    <w:p w:rsidR="002064CD" w:rsidRPr="007C195A" w:rsidRDefault="007C195A" w:rsidP="007C195A">
      <w:pPr>
        <w:spacing w:line="600" w:lineRule="exact"/>
        <w:rPr>
          <w:rFonts w:ascii="仿宋" w:eastAsia="仿宋" w:hAnsi="仿宋" w:cs="仿宋_GB2312"/>
          <w:sz w:val="32"/>
          <w:szCs w:val="32"/>
        </w:rPr>
      </w:pPr>
      <w:r>
        <w:rPr>
          <w:rFonts w:ascii="仿宋" w:eastAsia="仿宋" w:hAnsi="仿宋" w:cs="仿宋_GB2312" w:hint="eastAsia"/>
          <w:color w:val="333333"/>
          <w:sz w:val="32"/>
          <w:szCs w:val="32"/>
        </w:rPr>
        <w:t xml:space="preserve">    </w:t>
      </w:r>
      <w:r w:rsidR="00C22606" w:rsidRPr="007C195A">
        <w:rPr>
          <w:rFonts w:ascii="仿宋" w:eastAsia="仿宋" w:hAnsi="仿宋" w:cs="仿宋_GB2312" w:hint="eastAsia"/>
          <w:sz w:val="32"/>
          <w:szCs w:val="32"/>
        </w:rPr>
        <w:t>整体支出规模，包括基本支出，政策、项目专项支出的投入、管理和总体实际使用情况。2024年年初预算数为1922.89万元，全年预算数为1899.13万元，预算执行数为</w:t>
      </w:r>
      <w:r w:rsidR="00C22606" w:rsidRPr="007C195A">
        <w:rPr>
          <w:rFonts w:ascii="仿宋" w:eastAsia="仿宋" w:hAnsi="仿宋" w:cs="仿宋_GB2312" w:hint="eastAsia"/>
          <w:sz w:val="32"/>
          <w:szCs w:val="32"/>
        </w:rPr>
        <w:lastRenderedPageBreak/>
        <w:t>1899.13万元，整体预算执行率为100%。</w:t>
      </w:r>
      <w:r w:rsidR="00C22606" w:rsidRPr="007C195A">
        <w:rPr>
          <w:rFonts w:ascii="仿宋" w:eastAsia="仿宋" w:hAnsi="仿宋" w:cs="仿宋_GB2312" w:hint="eastAsia"/>
          <w:sz w:val="32"/>
          <w:szCs w:val="32"/>
        </w:rPr>
        <w:br/>
        <w:t xml:space="preserve">    基本支出主要用于日常工作运转开支,包括人员的工资福利支出、商品和服务支出、对个人和家庭的补助支出等。基本支出预算执行率为100%。 </w:t>
      </w:r>
      <w:r w:rsidR="00C22606" w:rsidRPr="007C195A">
        <w:rPr>
          <w:rFonts w:ascii="仿宋" w:eastAsia="仿宋" w:hAnsi="仿宋" w:cs="仿宋_GB2312" w:hint="eastAsia"/>
          <w:sz w:val="32"/>
          <w:szCs w:val="32"/>
        </w:rPr>
        <w:br/>
        <w:t xml:space="preserve">   </w:t>
      </w:r>
      <w:r w:rsidR="00C22606" w:rsidRPr="007C195A">
        <w:rPr>
          <w:rFonts w:ascii="仿宋" w:eastAsia="仿宋" w:hAnsi="仿宋" w:cs="仿宋_GB2312" w:hint="eastAsia"/>
          <w:b/>
          <w:sz w:val="32"/>
          <w:szCs w:val="32"/>
        </w:rPr>
        <w:t xml:space="preserve"> 项目支出预算执行情况如下：</w:t>
      </w:r>
      <w:r w:rsidR="00C22606" w:rsidRPr="007C195A">
        <w:rPr>
          <w:rFonts w:ascii="仿宋" w:eastAsia="仿宋" w:hAnsi="仿宋" w:cs="仿宋_GB2312" w:hint="eastAsia"/>
          <w:sz w:val="32"/>
          <w:szCs w:val="32"/>
        </w:rPr>
        <w:t xml:space="preserve"> </w:t>
      </w:r>
      <w:r w:rsidR="00C22606" w:rsidRPr="007C195A">
        <w:rPr>
          <w:rFonts w:ascii="仿宋" w:eastAsia="仿宋" w:hAnsi="仿宋" w:cs="仿宋_GB2312" w:hint="eastAsia"/>
          <w:sz w:val="32"/>
          <w:szCs w:val="32"/>
        </w:rPr>
        <w:br/>
        <w:t xml:space="preserve">    1.《新疆工作》杂志是自治区党委研室编发的内部资料，主要任务是贯彻落实党中央治疆方略和自治区党委决策部署，传达方针政策，进行决策研究和探讨，交流经验信息，为各级党委政府提供决策参考。项目的年初预算数为118.8万元，调整预算数为67.5万元，预算执行数为67.5万元，预算执行率为100%。项目经费主要用于刊物的印刷费、邮寄费以及稿费支出。 </w:t>
      </w:r>
      <w:r w:rsidR="00C22606" w:rsidRPr="007C195A">
        <w:rPr>
          <w:rFonts w:ascii="仿宋" w:eastAsia="仿宋" w:hAnsi="仿宋" w:cs="仿宋_GB2312" w:hint="eastAsia"/>
          <w:sz w:val="32"/>
          <w:szCs w:val="32"/>
        </w:rPr>
        <w:br/>
        <w:t xml:space="preserve">    2.农村固定观察点是根据中央书记处农村政策研究室、国务院农村发展研究中心中农研［1986］7号文件，《关于建立农村调查长期固定观察点的意见》，《农业部关于进一步做好农村固定观察点工作的意见》，在自治区在13个县(市)建立了农村固定观察点和农牧民观察户。主要目的是为了从农村基层直接调查经济运行数据和精确掌握农牧民生产生活情况，了解农村改革和各项建设的动态，为中央制定农村政策提供决策依据，同时也为自治区党委、自治区人民政府制定农村政策提供决策参考。项目的年初预算数为62.5万元，调整预算数为61.76万元，预算执行数为61.76万元，预算执行率为100%。项目经费主要用于固定观察点的补助支</w:t>
      </w:r>
      <w:r w:rsidR="00C22606" w:rsidRPr="007C195A">
        <w:rPr>
          <w:rFonts w:ascii="仿宋" w:eastAsia="仿宋" w:hAnsi="仿宋" w:cs="仿宋_GB2312" w:hint="eastAsia"/>
          <w:sz w:val="32"/>
          <w:szCs w:val="32"/>
        </w:rPr>
        <w:lastRenderedPageBreak/>
        <w:t xml:space="preserve">出以及办公经费支出。 </w:t>
      </w:r>
      <w:r w:rsidR="00C22606" w:rsidRPr="007C195A">
        <w:rPr>
          <w:rFonts w:ascii="仿宋" w:eastAsia="仿宋" w:hAnsi="仿宋" w:cs="仿宋_GB2312" w:hint="eastAsia"/>
          <w:sz w:val="32"/>
          <w:szCs w:val="32"/>
        </w:rPr>
        <w:br/>
        <w:t xml:space="preserve">    3.重点改革任务重大任务试点工作推进督导专项业务费是根据要职责为“根据自治区党委全面深化改革委员会要求，统筹协调有关方面制定自治区改革方案和措施，协调提出中央中长期改革规划自治区贯彻落实意见，协调推进兵地、军地及跨专项小组改革任务落实。”和“负责对各专项小组和各地各部门全面深化改革工作的统筹、协调、督促、检查、绩效考核，总结宣传改革经验。”的要求设立。项目的年初预算数60万元，调整预算数为31.81万元，预算执行数为31.81万元，预算执行率100%。项目经费主要用于会议费、差旅费和培训费支出。 </w:t>
      </w:r>
      <w:r w:rsidR="00C22606" w:rsidRPr="007C195A">
        <w:rPr>
          <w:rFonts w:ascii="仿宋" w:eastAsia="仿宋" w:hAnsi="仿宋" w:cs="仿宋_GB2312" w:hint="eastAsia"/>
          <w:sz w:val="32"/>
          <w:szCs w:val="32"/>
        </w:rPr>
        <w:br/>
        <w:t xml:space="preserve">    4.重点课题调研专项业务费是根据《自治区党委办公厅关于印发&lt;中共新疆维吾尔自治区委员会政策研究室（中共新疆维吾尔自治区委员会全面深化改革委员会办公室）职能配置、内设机构和人员编制规定&gt;的通知》中关于“根据自治区党委的意图和部署，围绕党的中心工作，统筹协调各地各部门，形成合力，对自治区政治、经济、文化、生态文明、民生保障、社会稳定、改革开放、党的建设等方面的重大问题进行调查研究，提出意见和建议，供自治区党委决策参考”的职能定位，2024年，自治区党委政策研究室将认真贯彻落实二十大和第三次中央新疆工作座谈会精神，围绕自治区党委中心工作，组织力量对自治区政治、经济、文化、生态文明、民生保障、社会稳定、改革开放、党的建设等方面的重</w:t>
      </w:r>
      <w:r w:rsidR="00C22606" w:rsidRPr="007C195A">
        <w:rPr>
          <w:rFonts w:ascii="仿宋" w:eastAsia="仿宋" w:hAnsi="仿宋" w:cs="仿宋_GB2312" w:hint="eastAsia"/>
          <w:sz w:val="32"/>
          <w:szCs w:val="32"/>
        </w:rPr>
        <w:lastRenderedPageBreak/>
        <w:t>大问题深入开展调查研究，为自治区党委科学决策提供参考的总体要求。项目的年初预算数为333.3万元，调整预算数为219.24万元，预算执行数为219.24万元，预算执行率为100%。项目经费主要用于办公费、差旅费、劳务费等支出。</w:t>
      </w:r>
    </w:p>
    <w:p w:rsidR="002064CD" w:rsidRPr="007C195A" w:rsidRDefault="00C22606">
      <w:pPr>
        <w:numPr>
          <w:ilvl w:val="0"/>
          <w:numId w:val="1"/>
        </w:numPr>
        <w:snapToGrid w:val="0"/>
        <w:spacing w:line="540" w:lineRule="exact"/>
        <w:rPr>
          <w:rFonts w:ascii="黑体" w:eastAsia="黑体" w:hAnsi="黑体" w:cs="仿宋_GB2312"/>
          <w:color w:val="333333"/>
          <w:sz w:val="32"/>
          <w:szCs w:val="32"/>
        </w:rPr>
      </w:pPr>
      <w:r w:rsidRPr="007C195A">
        <w:rPr>
          <w:rFonts w:ascii="黑体" w:eastAsia="黑体" w:hAnsi="黑体" w:cs="仿宋_GB2312" w:hint="eastAsia"/>
          <w:color w:val="333333"/>
          <w:sz w:val="32"/>
          <w:szCs w:val="32"/>
        </w:rPr>
        <w:t>部门单位专项组织实施情况</w:t>
      </w:r>
    </w:p>
    <w:p w:rsidR="002064CD" w:rsidRPr="007C195A" w:rsidRDefault="007C195A" w:rsidP="007C195A">
      <w:pPr>
        <w:spacing w:line="600" w:lineRule="exact"/>
        <w:jc w:val="left"/>
        <w:rPr>
          <w:rFonts w:ascii="仿宋" w:eastAsia="仿宋" w:hAnsi="仿宋" w:cs="仿宋_GB2312"/>
          <w:sz w:val="32"/>
          <w:szCs w:val="32"/>
        </w:rPr>
      </w:pPr>
      <w:r>
        <w:rPr>
          <w:rFonts w:ascii="仿宋" w:eastAsia="仿宋" w:hAnsi="仿宋" w:cs="仿宋_GB2312" w:hint="eastAsia"/>
          <w:color w:val="333333"/>
          <w:sz w:val="32"/>
          <w:szCs w:val="32"/>
        </w:rPr>
        <w:t xml:space="preserve">   </w:t>
      </w:r>
      <w:r w:rsidRPr="007C195A">
        <w:rPr>
          <w:rFonts w:ascii="楷体" w:eastAsia="楷体" w:hAnsi="楷体" w:cs="仿宋_GB2312" w:hint="eastAsia"/>
          <w:color w:val="333333"/>
          <w:sz w:val="32"/>
          <w:szCs w:val="32"/>
        </w:rPr>
        <w:t xml:space="preserve"> </w:t>
      </w:r>
      <w:r w:rsidR="00C22606" w:rsidRPr="007C195A">
        <w:rPr>
          <w:rFonts w:ascii="楷体" w:eastAsia="楷体" w:hAnsi="楷体" w:cs="仿宋_GB2312" w:hint="eastAsia"/>
          <w:sz w:val="32"/>
          <w:szCs w:val="32"/>
        </w:rPr>
        <w:t>（一）指标一：</w:t>
      </w:r>
      <w:r w:rsidR="00C22606" w:rsidRPr="007C195A">
        <w:rPr>
          <w:rFonts w:ascii="仿宋" w:eastAsia="仿宋" w:hAnsi="仿宋" w:cs="仿宋_GB2312" w:hint="eastAsia"/>
          <w:sz w:val="32"/>
          <w:szCs w:val="32"/>
        </w:rPr>
        <w:t>推进重点领域改革任务数</w:t>
      </w:r>
      <w:r w:rsidR="00C22606" w:rsidRPr="007C195A">
        <w:rPr>
          <w:rFonts w:ascii="仿宋" w:eastAsia="仿宋" w:hAnsi="仿宋" w:cs="仿宋_GB2312" w:hint="eastAsia"/>
          <w:sz w:val="32"/>
          <w:szCs w:val="32"/>
        </w:rPr>
        <w:br/>
        <w:t xml:space="preserve">    预期指标值为=10项，年中绩效运行监控情况为6项，本次评价实际完成情况为=10项。偏差率为0。 </w:t>
      </w:r>
      <w:r w:rsidR="00C22606" w:rsidRPr="007C195A">
        <w:rPr>
          <w:rFonts w:ascii="仿宋" w:eastAsia="仿宋" w:hAnsi="仿宋" w:cs="仿宋_GB2312" w:hint="eastAsia"/>
          <w:sz w:val="32"/>
          <w:szCs w:val="32"/>
        </w:rPr>
        <w:br/>
        <w:t xml:space="preserve">    </w:t>
      </w:r>
      <w:r w:rsidR="00C22606" w:rsidRPr="007C195A">
        <w:rPr>
          <w:rFonts w:ascii="楷体" w:eastAsia="楷体" w:hAnsi="楷体" w:cs="仿宋_GB2312" w:hint="eastAsia"/>
          <w:sz w:val="32"/>
          <w:szCs w:val="32"/>
        </w:rPr>
        <w:t>（二）指标二：</w:t>
      </w:r>
      <w:r w:rsidR="00C22606" w:rsidRPr="007C195A">
        <w:rPr>
          <w:rFonts w:ascii="仿宋" w:eastAsia="仿宋" w:hAnsi="仿宋" w:cs="仿宋_GB2312" w:hint="eastAsia"/>
          <w:sz w:val="32"/>
          <w:szCs w:val="32"/>
        </w:rPr>
        <w:t xml:space="preserve">完成根据自治区党委工作部署确定的重点课题调研报告 </w:t>
      </w:r>
      <w:r w:rsidR="00C22606" w:rsidRPr="007C195A">
        <w:rPr>
          <w:rFonts w:ascii="仿宋" w:eastAsia="仿宋" w:hAnsi="仿宋" w:cs="仿宋_GB2312" w:hint="eastAsia"/>
          <w:sz w:val="32"/>
          <w:szCs w:val="32"/>
        </w:rPr>
        <w:br/>
        <w:t xml:space="preserve">    预期指标值为&gt;=10篇，年中绩效运行监控情况为9篇，本次评价实际完成情况为15篇。偏差原因分析主要根据单位工作安排增加工作目标值。下一步措施是在保障整体目标实现的情况下更加科学化、精细化的设定绩效指标，加强目标执行监控，实现预期指标与实际完成情况的一致。 </w:t>
      </w:r>
      <w:r w:rsidR="00C22606" w:rsidRPr="007C195A">
        <w:rPr>
          <w:rFonts w:ascii="仿宋" w:eastAsia="仿宋" w:hAnsi="仿宋" w:cs="仿宋_GB2312" w:hint="eastAsia"/>
          <w:sz w:val="32"/>
          <w:szCs w:val="32"/>
        </w:rPr>
        <w:br/>
        <w:t xml:space="preserve">    </w:t>
      </w:r>
      <w:r w:rsidR="00C22606" w:rsidRPr="007C195A">
        <w:rPr>
          <w:rFonts w:ascii="楷体" w:eastAsia="楷体" w:hAnsi="楷体" w:cs="仿宋_GB2312" w:hint="eastAsia"/>
          <w:sz w:val="32"/>
          <w:szCs w:val="32"/>
        </w:rPr>
        <w:t>（三）指标三：</w:t>
      </w:r>
      <w:r w:rsidR="00C22606" w:rsidRPr="007C195A">
        <w:rPr>
          <w:rFonts w:ascii="仿宋" w:eastAsia="仿宋" w:hAnsi="仿宋" w:cs="仿宋_GB2312" w:hint="eastAsia"/>
          <w:sz w:val="32"/>
          <w:szCs w:val="32"/>
        </w:rPr>
        <w:t xml:space="preserve">《新疆工作》杂志全年出版期数 </w:t>
      </w:r>
      <w:r w:rsidR="00C22606" w:rsidRPr="007C195A">
        <w:rPr>
          <w:rFonts w:ascii="仿宋" w:eastAsia="仿宋" w:hAnsi="仿宋" w:cs="仿宋_GB2312" w:hint="eastAsia"/>
          <w:sz w:val="32"/>
          <w:szCs w:val="32"/>
        </w:rPr>
        <w:br/>
        <w:t>预期指标值为&gt;=6期，年中绩效运行监控情况为3期，本次评价实际完成情况为6期。偏差率为0。</w:t>
      </w:r>
    </w:p>
    <w:p w:rsidR="002064CD" w:rsidRPr="007C195A" w:rsidRDefault="00C22606">
      <w:pPr>
        <w:numPr>
          <w:ilvl w:val="0"/>
          <w:numId w:val="1"/>
        </w:numPr>
        <w:snapToGrid w:val="0"/>
        <w:spacing w:line="540" w:lineRule="exact"/>
        <w:rPr>
          <w:rFonts w:ascii="黑体" w:eastAsia="黑体" w:hAnsi="黑体" w:cs="仿宋_GB2312"/>
          <w:color w:val="333333"/>
          <w:sz w:val="32"/>
          <w:szCs w:val="32"/>
        </w:rPr>
      </w:pPr>
      <w:r w:rsidRPr="007C195A">
        <w:rPr>
          <w:rFonts w:ascii="黑体" w:eastAsia="黑体" w:hAnsi="黑体" w:cs="仿宋_GB2312" w:hint="eastAsia"/>
          <w:color w:val="333333"/>
          <w:sz w:val="32"/>
          <w:szCs w:val="32"/>
        </w:rPr>
        <w:t>评价结论</w:t>
      </w:r>
    </w:p>
    <w:p w:rsidR="002064CD" w:rsidRPr="007C195A" w:rsidRDefault="007C195A" w:rsidP="007C195A">
      <w:pPr>
        <w:spacing w:line="600" w:lineRule="exact"/>
        <w:jc w:val="left"/>
        <w:rPr>
          <w:rFonts w:ascii="仿宋" w:eastAsia="仿宋" w:hAnsi="仿宋" w:cs="仿宋_GB2312"/>
          <w:sz w:val="32"/>
          <w:szCs w:val="32"/>
        </w:rPr>
      </w:pPr>
      <w:r>
        <w:rPr>
          <w:rFonts w:ascii="仿宋" w:eastAsia="仿宋" w:hAnsi="仿宋" w:cs="仿宋_GB2312" w:hint="eastAsia"/>
          <w:sz w:val="32"/>
          <w:szCs w:val="32"/>
        </w:rPr>
        <w:t xml:space="preserve">    </w:t>
      </w:r>
      <w:r w:rsidR="00C22606" w:rsidRPr="007C195A">
        <w:rPr>
          <w:rFonts w:ascii="仿宋" w:eastAsia="仿宋" w:hAnsi="仿宋" w:cs="仿宋_GB2312" w:hint="eastAsia"/>
          <w:sz w:val="32"/>
          <w:szCs w:val="32"/>
        </w:rPr>
        <w:t>2024年度部门整体支出绩效自评综合得分90分，评价结果为“优”。</w:t>
      </w:r>
    </w:p>
    <w:p w:rsidR="002064CD" w:rsidRPr="007C195A" w:rsidRDefault="00C22606">
      <w:pPr>
        <w:numPr>
          <w:ilvl w:val="0"/>
          <w:numId w:val="1"/>
        </w:numPr>
        <w:snapToGrid w:val="0"/>
        <w:spacing w:line="540" w:lineRule="exact"/>
        <w:rPr>
          <w:rFonts w:ascii="黑体" w:eastAsia="黑体" w:hAnsi="黑体" w:cs="仿宋_GB2312"/>
          <w:color w:val="333333"/>
          <w:sz w:val="32"/>
          <w:szCs w:val="32"/>
        </w:rPr>
      </w:pPr>
      <w:r w:rsidRPr="007C195A">
        <w:rPr>
          <w:rFonts w:ascii="黑体" w:eastAsia="黑体" w:hAnsi="黑体" w:cs="仿宋_GB2312" w:hint="eastAsia"/>
          <w:color w:val="333333"/>
          <w:sz w:val="32"/>
          <w:szCs w:val="32"/>
          <w:shd w:val="clear" w:color="auto" w:fill="FFFFFF"/>
        </w:rPr>
        <w:t>存在的主要问题及原因分析：</w:t>
      </w:r>
    </w:p>
    <w:p w:rsidR="002064CD" w:rsidRPr="007C195A" w:rsidRDefault="007C195A" w:rsidP="007C195A">
      <w:pPr>
        <w:spacing w:line="600" w:lineRule="exact"/>
        <w:jc w:val="left"/>
        <w:rPr>
          <w:rFonts w:ascii="仿宋" w:eastAsia="仿宋" w:hAnsi="仿宋" w:cs="仿宋_GB2312"/>
          <w:sz w:val="32"/>
          <w:szCs w:val="32"/>
        </w:rPr>
      </w:pPr>
      <w:r>
        <w:rPr>
          <w:rFonts w:ascii="仿宋" w:eastAsia="仿宋" w:hAnsi="仿宋" w:cs="仿宋_GB2312" w:hint="eastAsia"/>
          <w:color w:val="333333"/>
          <w:sz w:val="32"/>
          <w:szCs w:val="32"/>
        </w:rPr>
        <w:t xml:space="preserve">    </w:t>
      </w:r>
      <w:r w:rsidR="00C22606" w:rsidRPr="007C195A">
        <w:rPr>
          <w:rFonts w:ascii="楷体" w:eastAsia="楷体" w:hAnsi="楷体" w:cs="仿宋_GB2312" w:hint="eastAsia"/>
          <w:sz w:val="32"/>
          <w:szCs w:val="32"/>
        </w:rPr>
        <w:t>（一）预算执行存在偏差。</w:t>
      </w:r>
      <w:r w:rsidR="00C22606" w:rsidRPr="007C195A">
        <w:rPr>
          <w:rFonts w:ascii="仿宋" w:eastAsia="仿宋" w:hAnsi="仿宋" w:cs="仿宋_GB2312" w:hint="eastAsia"/>
          <w:sz w:val="32"/>
          <w:szCs w:val="32"/>
        </w:rPr>
        <w:t>预算执行中存在个别预算子</w:t>
      </w:r>
      <w:r w:rsidR="00C22606" w:rsidRPr="007C195A">
        <w:rPr>
          <w:rFonts w:ascii="仿宋" w:eastAsia="仿宋" w:hAnsi="仿宋" w:cs="仿宋_GB2312" w:hint="eastAsia"/>
          <w:sz w:val="32"/>
          <w:szCs w:val="32"/>
        </w:rPr>
        <w:lastRenderedPageBreak/>
        <w:t>项调剂现象；对个别项目资金使用方面预算不够细致，出现实际支出数超出了预算申报数或出现项目资金结余数额多的情况，导致调剂频繁，缺乏预算编制的科学性。</w:t>
      </w:r>
      <w:r w:rsidR="00C22606" w:rsidRPr="007C195A">
        <w:rPr>
          <w:rFonts w:ascii="仿宋" w:eastAsia="仿宋" w:hAnsi="仿宋" w:cs="仿宋_GB2312" w:hint="eastAsia"/>
          <w:sz w:val="32"/>
          <w:szCs w:val="32"/>
        </w:rPr>
        <w:br/>
        <w:t xml:space="preserve">    </w:t>
      </w:r>
      <w:r w:rsidR="00C22606" w:rsidRPr="007C195A">
        <w:rPr>
          <w:rFonts w:ascii="楷体" w:eastAsia="楷体" w:hAnsi="楷体" w:cs="仿宋_GB2312" w:hint="eastAsia"/>
          <w:sz w:val="32"/>
          <w:szCs w:val="32"/>
        </w:rPr>
        <w:t>（二）预算绩效管理水平仍有欠缺。</w:t>
      </w:r>
      <w:r w:rsidR="00C22606" w:rsidRPr="007C195A">
        <w:rPr>
          <w:rFonts w:ascii="仿宋" w:eastAsia="仿宋" w:hAnsi="仿宋" w:cs="仿宋_GB2312" w:hint="eastAsia"/>
          <w:sz w:val="32"/>
          <w:szCs w:val="32"/>
        </w:rPr>
        <w:t xml:space="preserve">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 </w:t>
      </w:r>
      <w:r w:rsidR="00C22606" w:rsidRPr="007C195A">
        <w:rPr>
          <w:rFonts w:ascii="仿宋" w:eastAsia="仿宋" w:hAnsi="仿宋" w:cs="仿宋_GB2312" w:hint="eastAsia"/>
          <w:sz w:val="32"/>
          <w:szCs w:val="32"/>
        </w:rPr>
        <w:br/>
        <w:t xml:space="preserve">    </w:t>
      </w:r>
      <w:r w:rsidR="00C22606" w:rsidRPr="007C195A">
        <w:rPr>
          <w:rFonts w:ascii="楷体" w:eastAsia="楷体" w:hAnsi="楷体" w:cs="仿宋_GB2312" w:hint="eastAsia"/>
          <w:sz w:val="32"/>
          <w:szCs w:val="32"/>
        </w:rPr>
        <w:t>（三）固定资产管理水平有待提高。</w:t>
      </w:r>
      <w:r w:rsidR="00C22606" w:rsidRPr="007C195A">
        <w:rPr>
          <w:rFonts w:ascii="仿宋" w:eastAsia="仿宋" w:hAnsi="仿宋" w:cs="仿宋_GB2312" w:hint="eastAsia"/>
          <w:sz w:val="32"/>
          <w:szCs w:val="32"/>
        </w:rPr>
        <w:t>固定资产账面资产金额未及时与实物进行清点核对,固定资产管理继续加强中。</w:t>
      </w:r>
    </w:p>
    <w:p w:rsidR="007C195A" w:rsidRDefault="00C22606" w:rsidP="007C195A">
      <w:pPr>
        <w:numPr>
          <w:ilvl w:val="0"/>
          <w:numId w:val="1"/>
        </w:numPr>
        <w:snapToGrid w:val="0"/>
        <w:spacing w:line="540" w:lineRule="exact"/>
        <w:rPr>
          <w:rFonts w:ascii="黑体" w:eastAsia="黑体" w:hAnsi="黑体" w:cs="仿宋_GB2312"/>
          <w:color w:val="333333"/>
          <w:sz w:val="32"/>
          <w:szCs w:val="32"/>
        </w:rPr>
      </w:pPr>
      <w:r w:rsidRPr="007C195A">
        <w:rPr>
          <w:rFonts w:ascii="黑体" w:eastAsia="黑体" w:hAnsi="黑体" w:cs="仿宋_GB2312" w:hint="eastAsia"/>
          <w:color w:val="333333"/>
          <w:sz w:val="32"/>
          <w:szCs w:val="32"/>
        </w:rPr>
        <w:t>改进措施和建议</w:t>
      </w:r>
    </w:p>
    <w:p w:rsidR="007C195A" w:rsidRPr="007C195A" w:rsidRDefault="007C195A" w:rsidP="007C195A">
      <w:pPr>
        <w:pStyle w:val="a5"/>
        <w:snapToGrid w:val="0"/>
        <w:spacing w:line="540" w:lineRule="exact"/>
        <w:ind w:firstLineChars="0" w:firstLine="0"/>
        <w:rPr>
          <w:rFonts w:ascii="黑体" w:eastAsia="黑体" w:hAnsi="黑体" w:cs="仿宋_GB2312"/>
          <w:color w:val="333333"/>
          <w:sz w:val="32"/>
          <w:szCs w:val="32"/>
        </w:rPr>
      </w:pPr>
      <w:r>
        <w:rPr>
          <w:rFonts w:ascii="仿宋" w:eastAsia="仿宋" w:hAnsi="仿宋" w:cs="仿宋_GB2312" w:hint="eastAsia"/>
          <w:sz w:val="32"/>
          <w:szCs w:val="32"/>
        </w:rPr>
        <w:t xml:space="preserve">    </w:t>
      </w:r>
      <w:r w:rsidRPr="007C195A">
        <w:rPr>
          <w:rFonts w:ascii="楷体" w:eastAsia="楷体" w:hAnsi="楷体" w:cs="仿宋_GB2312" w:hint="eastAsia"/>
          <w:sz w:val="32"/>
          <w:szCs w:val="32"/>
        </w:rPr>
        <w:t>（一）完善管理制度,进-步加强资产管理。</w:t>
      </w:r>
      <w:r w:rsidRPr="007C195A">
        <w:rPr>
          <w:rFonts w:ascii="仿宋" w:eastAsia="仿宋" w:hAnsi="仿宋" w:cs="仿宋_GB2312" w:hint="eastAsia"/>
          <w:sz w:val="32"/>
          <w:szCs w:val="32"/>
        </w:rPr>
        <w:t xml:space="preserve">严格按照《固定资产管理办法》的规定，加强固定资产管理,及时登记、更新台账，加强资产卡片管理,对各类实物资产进行全面盘点,确保账账、账实相符。 </w:t>
      </w:r>
      <w:r w:rsidRPr="007C195A">
        <w:rPr>
          <w:rFonts w:ascii="仿宋" w:eastAsia="仿宋" w:hAnsi="仿宋" w:cs="仿宋_GB2312" w:hint="eastAsia"/>
          <w:sz w:val="32"/>
          <w:szCs w:val="32"/>
        </w:rPr>
        <w:br/>
        <w:t xml:space="preserve">    </w:t>
      </w:r>
      <w:r w:rsidRPr="007C195A">
        <w:rPr>
          <w:rFonts w:ascii="楷体" w:eastAsia="楷体" w:hAnsi="楷体" w:cs="仿宋_GB2312" w:hint="eastAsia"/>
          <w:sz w:val="32"/>
          <w:szCs w:val="32"/>
        </w:rPr>
        <w:t>（二）加强学习。</w:t>
      </w:r>
      <w:r w:rsidRPr="007C195A">
        <w:rPr>
          <w:rFonts w:ascii="仿宋" w:eastAsia="仿宋" w:hAnsi="仿宋" w:cs="仿宋_GB2312" w:hint="eastAsia"/>
          <w:sz w:val="32"/>
          <w:szCs w:val="32"/>
        </w:rPr>
        <w:t>进一步明确如何参照考核体系，科学合理设定绩效目标，充分发挥预算绩效管理工作效用。</w:t>
      </w:r>
      <w:r>
        <w:rPr>
          <w:rFonts w:ascii="仿宋" w:eastAsia="仿宋" w:hAnsi="仿宋" w:cs="仿宋_GB2312" w:hint="eastAsia"/>
          <w:sz w:val="32"/>
          <w:szCs w:val="32"/>
        </w:rPr>
        <w:t xml:space="preserve"> </w:t>
      </w:r>
      <w:r>
        <w:rPr>
          <w:rFonts w:ascii="仿宋" w:eastAsia="仿宋" w:hAnsi="仿宋" w:cs="仿宋_GB2312" w:hint="eastAsia"/>
          <w:sz w:val="32"/>
          <w:szCs w:val="32"/>
        </w:rPr>
        <w:br/>
        <w:t xml:space="preserve">    </w:t>
      </w:r>
      <w:r w:rsidRPr="007C195A">
        <w:rPr>
          <w:rFonts w:ascii="楷体" w:eastAsia="楷体" w:hAnsi="楷体" w:cs="仿宋_GB2312" w:hint="eastAsia"/>
          <w:sz w:val="32"/>
          <w:szCs w:val="32"/>
        </w:rPr>
        <w:t>（三）会计核算要更加详细。</w:t>
      </w:r>
      <w:r w:rsidRPr="007C195A">
        <w:rPr>
          <w:rFonts w:ascii="仿宋" w:eastAsia="仿宋" w:hAnsi="仿宋" w:cs="仿宋_GB2312" w:hint="eastAsia"/>
          <w:sz w:val="32"/>
          <w:szCs w:val="32"/>
        </w:rPr>
        <w:t xml:space="preserve">为本单位各项工作的开展、总结、评估提供有效数据资料支撑,为各项业务工作更好的开展提供帮助。 </w:t>
      </w:r>
      <w:r w:rsidRPr="007C195A">
        <w:rPr>
          <w:rFonts w:ascii="仿宋" w:eastAsia="仿宋" w:hAnsi="仿宋" w:cs="仿宋_GB2312" w:hint="eastAsia"/>
          <w:sz w:val="32"/>
          <w:szCs w:val="32"/>
        </w:rPr>
        <w:br/>
        <w:t xml:space="preserve">    </w:t>
      </w:r>
      <w:r w:rsidRPr="007C195A">
        <w:rPr>
          <w:rFonts w:ascii="楷体" w:eastAsia="楷体" w:hAnsi="楷体" w:cs="仿宋_GB2312" w:hint="eastAsia"/>
          <w:sz w:val="32"/>
          <w:szCs w:val="32"/>
        </w:rPr>
        <w:t>（四）从源头上强化对专项资金预算管理。</w:t>
      </w:r>
      <w:r w:rsidRPr="007C195A">
        <w:rPr>
          <w:rFonts w:ascii="仿宋" w:eastAsia="仿宋" w:hAnsi="仿宋" w:cs="仿宋_GB2312" w:hint="eastAsia"/>
          <w:sz w:val="32"/>
          <w:szCs w:val="32"/>
        </w:rPr>
        <w:t>实行专项资</w:t>
      </w:r>
      <w:r w:rsidRPr="007C195A">
        <w:rPr>
          <w:rFonts w:ascii="仿宋" w:eastAsia="仿宋" w:hAnsi="仿宋" w:cs="仿宋_GB2312" w:hint="eastAsia"/>
          <w:sz w:val="32"/>
          <w:szCs w:val="32"/>
        </w:rPr>
        <w:lastRenderedPageBreak/>
        <w:t xml:space="preserve">金预算管理，结合单位实际, 按轻重缓急统筹安排编制预算,提高预算编制科学性和合理性,优化资金结构。 </w:t>
      </w:r>
      <w:r w:rsidRPr="007C195A">
        <w:rPr>
          <w:rFonts w:ascii="仿宋" w:eastAsia="仿宋" w:hAnsi="仿宋" w:cs="仿宋_GB2312" w:hint="eastAsia"/>
          <w:sz w:val="32"/>
          <w:szCs w:val="32"/>
        </w:rPr>
        <w:br/>
        <w:t xml:space="preserve">    </w:t>
      </w:r>
      <w:r w:rsidRPr="007C195A">
        <w:rPr>
          <w:rFonts w:ascii="楷体" w:eastAsia="楷体" w:hAnsi="楷体" w:cs="仿宋_GB2312" w:hint="eastAsia"/>
          <w:sz w:val="32"/>
          <w:szCs w:val="32"/>
        </w:rPr>
        <w:t>（五）按时间进度分解资金使用计划。</w:t>
      </w:r>
      <w:r w:rsidRPr="007C195A">
        <w:rPr>
          <w:rFonts w:ascii="仿宋" w:eastAsia="仿宋" w:hAnsi="仿宋" w:cs="仿宋_GB2312" w:hint="eastAsia"/>
          <w:sz w:val="32"/>
          <w:szCs w:val="32"/>
        </w:rPr>
        <w:t xml:space="preserve">专项资金的使用，要事前做计划，事中进行控制，事后总结提高。合理安排资金使用,充分体现资金投向的目标和效益。 </w:t>
      </w:r>
      <w:r w:rsidRPr="007C195A">
        <w:rPr>
          <w:rFonts w:ascii="仿宋" w:eastAsia="仿宋" w:hAnsi="仿宋" w:cs="仿宋_GB2312" w:hint="eastAsia"/>
          <w:sz w:val="32"/>
          <w:szCs w:val="32"/>
        </w:rPr>
        <w:br/>
        <w:t xml:space="preserve">    </w:t>
      </w:r>
      <w:r w:rsidRPr="007C195A">
        <w:rPr>
          <w:rFonts w:ascii="楷体" w:eastAsia="楷体" w:hAnsi="楷体" w:cs="仿宋_GB2312" w:hint="eastAsia"/>
          <w:sz w:val="32"/>
          <w:szCs w:val="32"/>
        </w:rPr>
        <w:t>（六）进一步提高绩效管理水平。</w:t>
      </w:r>
      <w:r w:rsidRPr="007C195A">
        <w:rPr>
          <w:rFonts w:ascii="仿宋" w:eastAsia="仿宋" w:hAnsi="仿宋" w:cs="仿宋_GB2312" w:hint="eastAsia"/>
          <w:sz w:val="32"/>
          <w:szCs w:val="32"/>
        </w:rPr>
        <w:t xml:space="preserve">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 </w:t>
      </w:r>
    </w:p>
    <w:p w:rsidR="007C195A" w:rsidRPr="007C195A" w:rsidRDefault="007C195A" w:rsidP="007C195A">
      <w:pPr>
        <w:snapToGrid w:val="0"/>
        <w:spacing w:line="540" w:lineRule="exact"/>
        <w:jc w:val="left"/>
        <w:rPr>
          <w:rFonts w:ascii="黑体" w:eastAsia="黑体" w:hAnsi="黑体" w:cs="仿宋_GB2312"/>
          <w:color w:val="333333"/>
          <w:sz w:val="32"/>
          <w:szCs w:val="32"/>
        </w:rPr>
      </w:pPr>
    </w:p>
    <w:sectPr w:rsidR="007C195A" w:rsidRPr="007C195A" w:rsidSect="002064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909" w:rsidRDefault="005B6909" w:rsidP="00756FAF">
      <w:r>
        <w:separator/>
      </w:r>
    </w:p>
  </w:endnote>
  <w:endnote w:type="continuationSeparator" w:id="1">
    <w:p w:rsidR="005B6909" w:rsidRDefault="005B6909" w:rsidP="00756FAF">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909" w:rsidRDefault="005B6909" w:rsidP="00756FAF">
      <w:r>
        <w:separator/>
      </w:r>
    </w:p>
  </w:footnote>
  <w:footnote w:type="continuationSeparator" w:id="1">
    <w:p w:rsidR="005B6909" w:rsidRDefault="005B6909" w:rsidP="00756F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03BB8"/>
    <w:multiLevelType w:val="multilevel"/>
    <w:tmpl w:val="08888B74"/>
    <w:lvl w:ilvl="0">
      <w:start w:val="1"/>
      <w:numFmt w:val="japaneseCounting"/>
      <w:lvlText w:val="%1、"/>
      <w:lvlJc w:val="left"/>
      <w:pPr>
        <w:ind w:left="1368" w:hanging="720"/>
      </w:pPr>
      <w:rPr>
        <w:rFonts w:ascii="黑体" w:eastAsia="黑体" w:hAnsi="黑体"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B3604"/>
    <w:rsid w:val="001C7F2C"/>
    <w:rsid w:val="001D11FE"/>
    <w:rsid w:val="002064CD"/>
    <w:rsid w:val="00340E58"/>
    <w:rsid w:val="003E45AA"/>
    <w:rsid w:val="00584481"/>
    <w:rsid w:val="005B6909"/>
    <w:rsid w:val="00653C1A"/>
    <w:rsid w:val="00756FAF"/>
    <w:rsid w:val="007B51CE"/>
    <w:rsid w:val="007C195A"/>
    <w:rsid w:val="007E47F4"/>
    <w:rsid w:val="008F0DCE"/>
    <w:rsid w:val="00916058"/>
    <w:rsid w:val="00AB72C1"/>
    <w:rsid w:val="00C10BB4"/>
    <w:rsid w:val="00C22606"/>
    <w:rsid w:val="00CE0C6C"/>
    <w:rsid w:val="00D9011C"/>
    <w:rsid w:val="00DB647F"/>
    <w:rsid w:val="00DC7E33"/>
    <w:rsid w:val="00E8616A"/>
    <w:rsid w:val="00EB3604"/>
    <w:rsid w:val="0314578A"/>
    <w:rsid w:val="12350D4C"/>
    <w:rsid w:val="376016E5"/>
    <w:rsid w:val="78C952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064C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064C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2064CD"/>
    <w:rPr>
      <w:sz w:val="18"/>
      <w:szCs w:val="18"/>
    </w:rPr>
  </w:style>
  <w:style w:type="character" w:customStyle="1" w:styleId="Char">
    <w:name w:val="页脚 Char"/>
    <w:basedOn w:val="a0"/>
    <w:link w:val="a3"/>
    <w:uiPriority w:val="99"/>
    <w:rsid w:val="002064CD"/>
    <w:rPr>
      <w:sz w:val="18"/>
      <w:szCs w:val="18"/>
    </w:rPr>
  </w:style>
  <w:style w:type="paragraph" w:styleId="a5">
    <w:name w:val="List Paragraph"/>
    <w:basedOn w:val="a"/>
    <w:uiPriority w:val="34"/>
    <w:qFormat/>
    <w:rsid w:val="002064C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618</Words>
  <Characters>3526</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admin</cp:lastModifiedBy>
  <cp:revision>3</cp:revision>
  <dcterms:created xsi:type="dcterms:W3CDTF">2025-08-26T03:55:00Z</dcterms:created>
  <dcterms:modified xsi:type="dcterms:W3CDTF">2025-08-26T05:11:00Z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