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中国共产主义青年团新疆维吾尔自治区委员会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组织青年、引导青年、服务青年、维护青少年合法权益；团干部培训；开展有益于青少年健康成长、发展进步的各项工作，为各族青少年提供就业创业、助学助教服务，协调推动青少年公益事业等工作。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中国共产主义青年团新疆维吾尔自治区委员会2024年度，实有人数366人，其中：在职人员186人，增加2人；离休人员0人，较上年无变化；退休人员180人，增加6人。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从部门决算单位构成看，中国共产主义青年团新疆维吾尔自治区委员会部门决算包括：中国共产主义青年团新疆维吾尔自治区委员会本级决算及所属单位决算。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共产主义青年团新疆维吾尔自治区委员会本级下设11个处室，分别是：办公室、组织部（机关党委）、宣传部、学校部、统战联络部、青年发展部、基层部、少年部、西部计划项目办、权益部、机关服务中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纳入中国共产主义青年团新疆维吾尔自治区委员会2024年度部门决算编制范围的下属预算单位包括：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中国共产主义青年团新疆维吾尔自治区委员会，新疆维吾尔自治区团校，新疆维吾尔自治区青少年发展中心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2024年度收入总计10,864.71万元，其中：本年收入合计9,874.70万元，使用非财政拨款结余（含专用结余）15.33万元，年初结转和结余974.68万元。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2024年度支出总计10,864.71万元，其中：本年支出合计9,885.89万元，结余分配0.00万元，年末结转和结余978.82万元。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1,994.35万元，增长22.48%，主要原因是：一是2024年新增我们爱科学科普教育专项经费；二是2024年追加西部计划活动经费；三是2024年追加青年英才资助经费；四是追加团校运动场改造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9,874.70万元，其中：财政拨款收入8,917.86万元,占90.31%；上级补助收入0.00万元,占0.00%；事业收入238.18万元，占2.41%；经营收入348.79万元,占3.53%；附属单位上缴收入0.00万元，占0.00%；其他收入369.88万元，占3.75%。</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本年支出9,885.89万元，其中：基本支出4,126.29万元，占41.74%；项目支出5,410.82万元，占54.73%；上缴上级支出0.00万元，占0.00%；经营支出348.79万元，占3.53%；对附属单位补助支出0.00万元，占0.00%。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8,917.86万元，其中：年初财政拨款结转和结余0.00万元，本年财政拨款收入8,917.86万元。财政拨款支出总计8,917.86万元，其中：年末财政拨款结转和结余0.00万元，本年财政拨款支出8,917.86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2,054.15万元，增长29.93%，主要原因是：一是2024年新增我们爱科学科普教育专项经费；二是2024年追加西部计划活动经费；三是2024年追加青年英才资助经费；四是追加团校运动场改造经费。与年初预算相比，年初预算数7,028.77万元，决算数8,917.86万元，预决算差异率26.88%，主要原因是：一是2024年追加西部计划活动经费；二是2024年追加青年英才资助经费；三是追加团校运动场改造经费；四是驻村人员补助及为民办实事经费、南疆工作补贴、干部结亲交通费等，属于年中预算调整调剂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7,288.04万元，占本年支出合计的73.72%。与上年相比，增加1,174.33万元，增长19.21%，主要原因是：一是2024年追加西部计划活动经费；二是2024年追加青年英才资助经费；三是追加团校运动场改造经费。与年初预算相比，年初预算数5,398.77万元，决算数7,288.04万元，预决算差异率34.99%，主要原因是：一是2024年追加西部计划活动经费；二是2024年追加青年英才资助经费；三是追加团校运动场改造经费；四是驻村人员补助及为民办实事经费、南疆工作补贴、干部结亲交通费等，属于年中预算调整调剂项目。</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一般公共服务支出（类）6,102.92万元，占83.74%。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文化旅游体育与传媒支出（类）17.00万元，占0.23%。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社会保障和就业支出（类）593.70万元，占8.15%。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卫生健康支出（类）314.31万元，占4.31%。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住房保障支出（类）260.12万元，占3.57%。</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1、一般公共服务支出（类）群众团体事务（款）行政运行（项）：支出决算数为939.71万元，比上年决算减少15.44万元，下降1.62%，主要原因是：行政人员减少5人，</w:t>
      </w:r>
      <w:r>
        <w:rPr>
          <w:rFonts w:hint="eastAsia" w:ascii="仿宋_GB2312" w:eastAsia="仿宋_GB2312"/>
          <w:b w:val="0"/>
          <w:sz w:val="32"/>
          <w:szCs w:val="32"/>
          <w:lang w:eastAsia="zh-CN"/>
        </w:rPr>
        <w:t>致使</w:t>
      </w:r>
      <w:r>
        <w:rPr>
          <w:rFonts w:ascii="仿宋_GB2312" w:eastAsia="仿宋_GB2312"/>
          <w:b w:val="0"/>
          <w:sz w:val="32"/>
          <w:szCs w:val="32"/>
        </w:rPr>
        <w:t>人员工资及公用经费减少。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2、一般公共服务支出（类）群众团体事务（款）一般行政管理事务（项）：支出决算数为1,923.36万元，比上年决算增加555.56万元，增长40.62%，主要原因是：2024年追加西部计划活动经费。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3、一般公共服务支出（类）群众团体事务（款）机关服务（项）：支出决算数为85.38万元，比上年决算增加6.24万元，增长7.88%，主要原因是：机关服务中心在职人员年中工资调整。</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4、一般公共服务支出（类）群众团体事务（款）事业运行（项）：支出决算数为1,903.97万元，比上年决算减少92.25万元，下降4.62%，主要原因是：一是新疆青少年发展中心本年度无丧葬费</w:t>
      </w:r>
      <w:r>
        <w:rPr>
          <w:rFonts w:hint="eastAsia" w:ascii="仿宋_GB2312" w:eastAsia="仿宋_GB2312"/>
          <w:b w:val="0"/>
          <w:sz w:val="32"/>
          <w:szCs w:val="32"/>
          <w:lang w:eastAsia="zh-CN"/>
        </w:rPr>
        <w:t>、</w:t>
      </w:r>
      <w:r>
        <w:rPr>
          <w:rFonts w:ascii="仿宋_GB2312" w:eastAsia="仿宋_GB2312"/>
          <w:b w:val="0"/>
          <w:sz w:val="32"/>
          <w:szCs w:val="32"/>
        </w:rPr>
        <w:t>抚恤金支出；二是新疆青少年发展中心作为公益二类事业单位</w:t>
      </w:r>
      <w:r>
        <w:rPr>
          <w:rFonts w:hint="eastAsia" w:ascii="仿宋_GB2312" w:eastAsia="仿宋_GB2312"/>
          <w:b w:val="0"/>
          <w:sz w:val="32"/>
          <w:szCs w:val="32"/>
          <w:lang w:eastAsia="zh-CN"/>
        </w:rPr>
        <w:t>，</w:t>
      </w:r>
      <w:r>
        <w:rPr>
          <w:rFonts w:ascii="仿宋_GB2312" w:eastAsia="仿宋_GB2312"/>
          <w:b w:val="0"/>
          <w:sz w:val="32"/>
          <w:szCs w:val="32"/>
        </w:rPr>
        <w:t>本年度在职人员及退休人员无基础性绩效工资增量部分。</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5、一般公共服务支出（类）群众团体事务（款）其他群众团体事务支出（项）：支出决算数为1,250.50万元，比上年决算增加694.62万元，增长124.96%，主要原因是：团校追加运动场改造项目经费。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6、文化旅游体育与传媒支出（类）文化和旅游（款）其他文化和旅游支出（项）：支出决算数为17.00万元，比上年决算增加17.00万元，增长100.00%，主要原因是：2024年追加青年英才资助经费。</w:t>
      </w:r>
    </w:p>
    <w:p>
      <w:pPr>
        <w:widowControl/>
        <w:spacing w:before="0" w:beforeLines="0" w:beforeAutospacing="0" w:after="0" w:afterLines="0" w:afterAutospacing="0" w:line="240" w:lineRule="auto"/>
        <w:ind w:firstLine="640" w:firstLineChars="200"/>
        <w:rPr>
          <w:rFonts w:hint="eastAsia" w:ascii="仿宋_GB2312" w:eastAsia="仿宋_GB2312"/>
          <w:b w:val="0"/>
          <w:sz w:val="32"/>
          <w:szCs w:val="32"/>
          <w:highlight w:val="none"/>
          <w:lang w:val="en-US" w:eastAsia="zh-CN"/>
        </w:rPr>
      </w:pPr>
      <w:r>
        <w:rPr>
          <w:rFonts w:ascii="仿宋_GB2312" w:eastAsia="仿宋_GB2312"/>
          <w:b w:val="0"/>
          <w:sz w:val="32"/>
          <w:szCs w:val="32"/>
        </w:rPr>
        <w:t>7、社会保障和就业支出（类）行政事业单位养老支出（款）行政单位离退休（项）：支出决算数为14.63万元，比上年决算减少26.39万元，下降64.33%，主要原因是：</w:t>
      </w:r>
      <w:r>
        <w:rPr>
          <w:rFonts w:hint="eastAsia" w:ascii="仿宋_GB2312" w:eastAsia="仿宋_GB2312"/>
          <w:b w:val="0"/>
          <w:sz w:val="32"/>
          <w:szCs w:val="32"/>
          <w:highlight w:val="none"/>
          <w:lang w:eastAsia="zh-CN"/>
        </w:rPr>
        <w:t>团委本级</w:t>
      </w:r>
      <w:r>
        <w:rPr>
          <w:rFonts w:hint="eastAsia" w:ascii="仿宋_GB2312" w:eastAsia="仿宋_GB2312"/>
          <w:b w:val="0"/>
          <w:sz w:val="32"/>
          <w:szCs w:val="32"/>
          <w:highlight w:val="none"/>
          <w:lang w:val="en-US" w:eastAsia="zh-CN"/>
        </w:rPr>
        <w:t>2024年度经费支出科目调整，将行政单位离退休科目中事业退休人员费用调整至事业单位离退休科目，致使该科目支出相应减少。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8、社会保障和就业支出（类）行政事业单位养老支出（款）事业单位离退休（项）：支出决算数为155.91万元，比上年决算增加26.11万元，增长20.12%，主要原因是：</w:t>
      </w:r>
      <w:r>
        <w:rPr>
          <w:rFonts w:hint="eastAsia" w:ascii="仿宋_GB2312" w:eastAsia="仿宋_GB2312"/>
          <w:b w:val="0"/>
          <w:sz w:val="32"/>
          <w:szCs w:val="32"/>
          <w:lang w:eastAsia="zh-CN"/>
        </w:rPr>
        <w:t>一是</w:t>
      </w:r>
      <w:r>
        <w:rPr>
          <w:rFonts w:ascii="仿宋_GB2312" w:eastAsia="仿宋_GB2312"/>
          <w:b w:val="0"/>
          <w:sz w:val="32"/>
          <w:szCs w:val="32"/>
        </w:rPr>
        <w:t>退休人员增加6人，相应费用增加</w:t>
      </w:r>
      <w:r>
        <w:rPr>
          <w:rFonts w:hint="eastAsia" w:ascii="仿宋_GB2312" w:eastAsia="仿宋_GB2312"/>
          <w:b w:val="0"/>
          <w:sz w:val="32"/>
          <w:szCs w:val="32"/>
          <w:lang w:eastAsia="zh-CN"/>
        </w:rPr>
        <w:t>；二是退休人员年度绩效增加；</w:t>
      </w:r>
      <w:r>
        <w:rPr>
          <w:rFonts w:hint="eastAsia" w:ascii="仿宋_GB2312" w:eastAsia="仿宋_GB2312"/>
          <w:b w:val="0"/>
          <w:sz w:val="32"/>
          <w:szCs w:val="32"/>
          <w:highlight w:val="none"/>
          <w:lang w:eastAsia="zh-CN"/>
        </w:rPr>
        <w:t>三是团委本级</w:t>
      </w:r>
      <w:r>
        <w:rPr>
          <w:rFonts w:hint="eastAsia" w:ascii="仿宋_GB2312" w:eastAsia="仿宋_GB2312"/>
          <w:b w:val="0"/>
          <w:sz w:val="32"/>
          <w:szCs w:val="32"/>
          <w:highlight w:val="none"/>
          <w:lang w:val="en-US" w:eastAsia="zh-CN"/>
        </w:rPr>
        <w:t>2024年度经费支出科目调整，将行政单位离退休科目中事业退休人员费用调整至事业单位离退休科目，致使该科目支出相应增加。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社会保障和就业支出（类）行政事业单位养老支出（款）机关事业单位基本养老保险缴费支出（项）：支出决算数为346.82万元，比上年决算增加24.45万元，增长7.58%，主要原因是：2024年工资调整，相应养老保险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10、社会保障和就业支出（类）行政事业单位养老支出（款）机关事业单位职业年金缴费支出（项）：支出决算数为76.34万元，比上年决算减少50.67万元，下降39.89%，主要原因是：2024年度调出人员</w:t>
      </w:r>
      <w:r>
        <w:rPr>
          <w:rFonts w:hint="eastAsia" w:ascii="仿宋_GB2312" w:eastAsia="仿宋_GB2312"/>
          <w:b w:val="0"/>
          <w:sz w:val="32"/>
          <w:szCs w:val="32"/>
          <w:lang w:eastAsia="zh-CN"/>
        </w:rPr>
        <w:t>同比</w:t>
      </w:r>
      <w:r>
        <w:rPr>
          <w:rFonts w:ascii="仿宋_GB2312" w:eastAsia="仿宋_GB2312"/>
          <w:b w:val="0"/>
          <w:sz w:val="32"/>
          <w:szCs w:val="32"/>
        </w:rPr>
        <w:t>减少，</w:t>
      </w:r>
      <w:r>
        <w:rPr>
          <w:rFonts w:hint="eastAsia" w:ascii="仿宋_GB2312" w:eastAsia="仿宋_GB2312"/>
          <w:b w:val="0"/>
          <w:sz w:val="32"/>
          <w:szCs w:val="32"/>
          <w:lang w:eastAsia="zh-CN"/>
        </w:rPr>
        <w:t>致使</w:t>
      </w:r>
      <w:r>
        <w:rPr>
          <w:rFonts w:ascii="仿宋_GB2312" w:eastAsia="仿宋_GB2312"/>
          <w:b w:val="0"/>
          <w:sz w:val="32"/>
          <w:szCs w:val="32"/>
        </w:rPr>
        <w:t>职业年金缴费支出相应减少。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11、卫生健康支出（类）行政事业单位医疗（款）行政单位医疗（项）：支出决算数为45.40万元，比上年决算增加8.10万元，增长21.72%，主要原因是：2024年工资调整，相应医疗保险缴费基数增加，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12、卫生健康支出（类）行政事业单位医疗（款）事业单位医疗（项）：支出决算数为117.17万元，比上年决算增加3.36万元，增长2.95%，主要原因是：2024年工资调整，相应医疗保险缴费基数增加，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13、卫生健康支出（类）行政事业单位医疗（款）公务员医疗补助（项）：支出决算数为151.73万元，比上年决算增加5.29万元，增长3.61%，主要原因是：2024年工资调整，相应医疗保险缴费基数增加，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14、住房保障支出（类）住房改革支出（款）住房公积金（项）：支出决算数为260.12万元，比上年决算增加18.34万元，增长7.59%，主要原因是：2024年工资调整，相应住房公积金缴费基数增加，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4,097.17万元，其中：人员经费3,693.80万元，包括：基本工资、津贴补贴、奖金、伙食补助费、绩效工资、机关事业单位基本养老保险缴费、职业年金缴费、职工基本医疗保险缴费、公务员医疗补助缴费、其他社会保障缴费、住房公积金、退休费、生活补助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403.37万元，包括：办公费、咨询费、手续费、水费、电费、邮电费、取暖费、物业管理费、差旅费、维修（护）费、租赁费、培训费、公务接待费、劳务费、委托业务费、工会经费、福利费、公务用车运行维护费、其他交通费用、其他商品和服务支出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2024年度政府性基金预算财政拨款收入总计1,629.82万元，其中：年初结转和结余0.00万元，本年收入1,629.82万元。政府性基金预算财政拨款支出总计1,629.82万元，其中：年末结转和结余0.00万元，本年支出1,629.82万元。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879.82万元，增长117.31%，主要原因是：2024年新增我们爱科学科普教育经费。与年初预算相比，年初预算数1,630.00万元，决算数1,629.82万元，预决算差异率-0.01%，主要原因是：2024年我们爱科学科普教育经费</w:t>
      </w:r>
      <w:r>
        <w:rPr>
          <w:rFonts w:hint="eastAsia" w:ascii="仿宋_GB2312" w:eastAsia="仿宋_GB2312"/>
          <w:b w:val="0"/>
          <w:sz w:val="32"/>
          <w:szCs w:val="32"/>
          <w:lang w:eastAsia="zh-CN"/>
        </w:rPr>
        <w:t>预算数为</w:t>
      </w:r>
      <w:r>
        <w:rPr>
          <w:rFonts w:hint="eastAsia" w:ascii="仿宋_GB2312" w:eastAsia="仿宋_GB2312"/>
          <w:b w:val="0"/>
          <w:sz w:val="32"/>
          <w:szCs w:val="32"/>
          <w:lang w:val="en-US" w:eastAsia="zh-CN"/>
        </w:rPr>
        <w:t>880万元，实际支出为879.82万元。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政府性基金预算财政拨款支出1,629.82万元。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1、其他支出（类）彩票公益金安排的支出（款）用于社会福利的彩票公益金支出（项）：支出决算数为1,629.82万元，比上年决算增加879.82万元，增长117.31%，主要原因是：2024年新增我们爱科学科普教育经费。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15.42万元，比上年减少0.94万元，下降5.75%，主要原因是：按照厉行节约要求，团委严格控制“三公”经费支出，“三公”经费整体支出进一步减少。其中：因公出国（境）费支出0.00万元,占0.00%，与上年相比无变化，主要原因是：团委本年度无因公出国（境）费用支出，与上年</w:t>
      </w:r>
      <w:r>
        <w:rPr>
          <w:rFonts w:hint="eastAsia" w:ascii="仿宋_GB2312" w:eastAsia="仿宋_GB2312"/>
          <w:b w:val="0"/>
          <w:sz w:val="32"/>
          <w:szCs w:val="32"/>
          <w:lang w:eastAsia="zh-CN"/>
        </w:rPr>
        <w:t>相比无变化</w:t>
      </w:r>
      <w:r>
        <w:rPr>
          <w:rFonts w:ascii="仿宋_GB2312" w:eastAsia="仿宋_GB2312"/>
          <w:b w:val="0"/>
          <w:sz w:val="32"/>
          <w:szCs w:val="32"/>
        </w:rPr>
        <w:t>；公务用车购置及运行维护费支出15.20万元，占98.57%，比上年减少1.16万元，下降7.09%，主要原因是：</w:t>
      </w:r>
      <w:r>
        <w:rPr>
          <w:rFonts w:hint="eastAsia" w:ascii="仿宋_GB2312" w:eastAsia="仿宋_GB2312"/>
          <w:b w:val="0"/>
          <w:sz w:val="32"/>
          <w:szCs w:val="32"/>
          <w:lang w:eastAsia="zh-CN"/>
        </w:rPr>
        <w:t>一是</w:t>
      </w:r>
      <w:r>
        <w:rPr>
          <w:rFonts w:ascii="仿宋_GB2312" w:eastAsia="仿宋_GB2312"/>
          <w:b w:val="0"/>
          <w:sz w:val="32"/>
          <w:szCs w:val="32"/>
        </w:rPr>
        <w:t>按照厉行节约要求，团委严格控制公务用车运行维护费支出</w:t>
      </w:r>
      <w:r>
        <w:rPr>
          <w:rFonts w:hint="eastAsia" w:ascii="仿宋_GB2312" w:eastAsia="仿宋_GB2312"/>
          <w:b w:val="0"/>
          <w:sz w:val="32"/>
          <w:szCs w:val="32"/>
          <w:lang w:eastAsia="zh-CN"/>
        </w:rPr>
        <w:t>，使得公务用车运行维护费支出减少；二是经审批，团委本级</w:t>
      </w:r>
      <w:r>
        <w:rPr>
          <w:rFonts w:ascii="仿宋_GB2312" w:eastAsia="仿宋_GB2312"/>
          <w:b w:val="0"/>
          <w:sz w:val="32"/>
          <w:szCs w:val="32"/>
        </w:rPr>
        <w:t>在确保“三公”经费总量不增的基础上，将公车运行维护费0.30万元调整到公务接待费使用</w:t>
      </w:r>
      <w:bookmarkStart w:id="0" w:name="_GoBack"/>
      <w:bookmarkEnd w:id="0"/>
      <w:r>
        <w:rPr>
          <w:rFonts w:hint="eastAsia" w:ascii="仿宋_GB2312" w:eastAsia="仿宋_GB2312"/>
          <w:b w:val="0"/>
          <w:sz w:val="32"/>
          <w:szCs w:val="32"/>
          <w:lang w:eastAsia="zh-CN"/>
        </w:rPr>
        <w:t>；</w:t>
      </w:r>
      <w:r>
        <w:rPr>
          <w:rFonts w:ascii="仿宋_GB2312" w:eastAsia="仿宋_GB2312"/>
          <w:b w:val="0"/>
          <w:sz w:val="32"/>
          <w:szCs w:val="32"/>
        </w:rPr>
        <w:t>公务接待费支出0.22万元，占1.43%，比上年增加0.22万元，增长100%，主要原因是：</w:t>
      </w:r>
      <w:r>
        <w:rPr>
          <w:rFonts w:hint="eastAsia" w:ascii="仿宋_GB2312" w:eastAsia="仿宋_GB2312"/>
          <w:b w:val="0"/>
          <w:sz w:val="32"/>
          <w:szCs w:val="32"/>
          <w:lang w:eastAsia="zh-CN"/>
        </w:rPr>
        <w:t>经审批，团委本级</w:t>
      </w:r>
      <w:r>
        <w:rPr>
          <w:rFonts w:ascii="仿宋_GB2312" w:eastAsia="仿宋_GB2312"/>
          <w:b w:val="0"/>
          <w:sz w:val="32"/>
          <w:szCs w:val="32"/>
        </w:rPr>
        <w:t>在确保“三公”经费总量不增的基础上，将</w:t>
      </w:r>
      <w:r>
        <w:rPr>
          <w:rFonts w:hint="eastAsia" w:ascii="仿宋_GB2312" w:eastAsia="仿宋_GB2312"/>
          <w:b w:val="0"/>
          <w:sz w:val="32"/>
          <w:szCs w:val="32"/>
          <w:lang w:eastAsia="zh-CN"/>
        </w:rPr>
        <w:t>公务</w:t>
      </w:r>
      <w:r>
        <w:rPr>
          <w:rFonts w:ascii="仿宋_GB2312" w:eastAsia="仿宋_GB2312"/>
          <w:b w:val="0"/>
          <w:sz w:val="32"/>
          <w:szCs w:val="32"/>
        </w:rPr>
        <w:t>运行维护费0.30万元调整到公务接待费使用，本年度实际支出0.22万元。</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因公出国（境）费支出0.00万元，开支内容包括本部门本年度无因公出国（境）费用支出，与上年保持一致。单位全年安排的因公出国（境）团组0个，因公出国（境）0人次。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公务用车购置及运行维护费15.20万元，其中：公务用车购置费0.00万元，公务用车运行维护费15.20万元。公务用车运行维护费开支内容包括车辆燃油费</w:t>
      </w:r>
      <w:r>
        <w:rPr>
          <w:rFonts w:hint="eastAsia" w:ascii="仿宋_GB2312" w:eastAsia="仿宋_GB2312"/>
          <w:b w:val="0"/>
          <w:sz w:val="32"/>
          <w:szCs w:val="32"/>
          <w:lang w:eastAsia="zh-CN"/>
        </w:rPr>
        <w:t>、</w:t>
      </w:r>
      <w:r>
        <w:rPr>
          <w:rFonts w:ascii="仿宋_GB2312" w:eastAsia="仿宋_GB2312"/>
          <w:b w:val="0"/>
          <w:sz w:val="32"/>
          <w:szCs w:val="32"/>
        </w:rPr>
        <w:t>车辆保险费</w:t>
      </w:r>
      <w:r>
        <w:rPr>
          <w:rFonts w:hint="eastAsia" w:ascii="仿宋_GB2312" w:eastAsia="仿宋_GB2312"/>
          <w:b w:val="0"/>
          <w:sz w:val="32"/>
          <w:szCs w:val="32"/>
          <w:lang w:eastAsia="zh-CN"/>
        </w:rPr>
        <w:t>、</w:t>
      </w:r>
      <w:r>
        <w:rPr>
          <w:rFonts w:ascii="仿宋_GB2312" w:eastAsia="仿宋_GB2312"/>
          <w:b w:val="0"/>
          <w:sz w:val="32"/>
          <w:szCs w:val="32"/>
        </w:rPr>
        <w:t>车辆维修费</w:t>
      </w:r>
      <w:r>
        <w:rPr>
          <w:rFonts w:hint="eastAsia" w:ascii="仿宋_GB2312" w:eastAsia="仿宋_GB2312"/>
          <w:b w:val="0"/>
          <w:sz w:val="32"/>
          <w:szCs w:val="32"/>
          <w:lang w:eastAsia="zh-CN"/>
        </w:rPr>
        <w:t>、</w:t>
      </w:r>
      <w:r>
        <w:rPr>
          <w:rFonts w:ascii="仿宋_GB2312" w:eastAsia="仿宋_GB2312"/>
          <w:b w:val="0"/>
          <w:sz w:val="32"/>
          <w:szCs w:val="32"/>
        </w:rPr>
        <w:t>车辆过桥过路费。公务用车购置数0辆，公务用车保有量13辆。国有资产占用情况中固定资产车辆13辆，与公务用车保有量差异原因是：本部门本年度固定资产车辆数与公务用车保有量保持一致，无差异。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公务接待费0.22万元，开支内容包括公务</w:t>
      </w:r>
      <w:r>
        <w:rPr>
          <w:rFonts w:hint="eastAsia" w:ascii="仿宋_GB2312" w:eastAsia="仿宋_GB2312"/>
          <w:b w:val="0"/>
          <w:sz w:val="32"/>
          <w:szCs w:val="32"/>
          <w:lang w:eastAsia="zh-CN"/>
        </w:rPr>
        <w:t>接待</w:t>
      </w:r>
      <w:r>
        <w:rPr>
          <w:rFonts w:ascii="仿宋_GB2312" w:eastAsia="仿宋_GB2312"/>
          <w:b w:val="0"/>
          <w:sz w:val="32"/>
          <w:szCs w:val="32"/>
        </w:rPr>
        <w:t>团中央调研组成员。单位全年安排的国内公务接待2批次，20人次。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15.42万元，决算数15.42万元，预决算差异率0.00%，主要原因是：按照厉行节约要求，团委严格控制“三公”经费支出，使得预决算无差异。其中：因公出国（境）费全年预算数0.00万元，决算数0.00万元，预决算差异率0.00%，主要原因是：团委本年度无因公出国（境）费，与年初预算保持一致，无差异；公务用车购置费全年预算数0.00万元，决算数0.00万元，预决算差异率0.00%，主要原因是：团委本年度无公务用车购置费，与年初预算保持一致，无差异；公务用车运行维护费全年预算数15.20万元，决算数15.20万元，预决算差异率0.00%，主要原因是：按照厉行节约要求，团委严格控制公务用车运行维护费支出，使得预决算无差异；公务接待费全年预算数0.22万元，决算数0.22万元，预决算差异率0.00%，主要原因是：按照厉行节约要求，团委严格控制公务接待费支出，使得预决算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国共产主义青年团新疆维吾尔自治区委员会部门（行政单位和参照公务员法管理事业单位）机关运行经费支出181.44万元，比上年增加0.52万元，增长0.29%，主要原因是：团委机关人员级别晋升，相应机关运行经费有所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2024年度中国共产主义青年团新疆维吾尔自治区委员会部门​（事业单位）公用经费支出221.93万元，比上年减少1.65万元，下降0.74%，主要原因是：新疆青少年发展中心</w:t>
      </w:r>
      <w:r>
        <w:rPr>
          <w:rFonts w:hint="eastAsia" w:ascii="仿宋_GB2312" w:eastAsia="仿宋_GB2312"/>
          <w:sz w:val="32"/>
          <w:szCs w:val="32"/>
          <w:highlight w:val="none"/>
          <w:lang w:eastAsia="zh-CN"/>
        </w:rPr>
        <w:t>作为公益二类事业单位，本年度支出按财政预算安排相应减少。</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2024年度政府采购支出总额1,479.13万元，其中：政府采购货物支出770.84万元、政府采购工程支出0.00万元、政府采购服务支出708.29万元。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授予中小企业合同金额660.16万元，占政府采购支出总额的44.63%，其中：授予小微企业合同金额660.16万元，占政府采购支出总额的44.63%。</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30,050.83平方米，价值4,284.42万元。车辆13辆，价值363.27万元，其中：副部（省）级及以上领导用车0辆、主要负责人用车1辆、机要通信用车1辆、应急保障用车0辆、执法执勤用车0辆、特种专业技术用车0辆、离退休干部服务用车0辆、其他用车11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12,758.67万元，实际执行总额12,758.67万元；预算绩效评价项目17个，全年预算数9,099.51万元，全年执行数8,711.10万元。预算绩效管理取得的成效：一是进一步完善绩效评估机制。要求各部室根据往年预算</w:t>
      </w:r>
      <w:r>
        <w:rPr>
          <w:rFonts w:hint="eastAsia" w:ascii="仿宋_GB2312" w:eastAsia="仿宋_GB2312"/>
          <w:b w:val="0"/>
          <w:sz w:val="32"/>
          <w:szCs w:val="32"/>
          <w:lang w:eastAsia="zh-CN"/>
        </w:rPr>
        <w:t>执行情况</w:t>
      </w:r>
      <w:r>
        <w:rPr>
          <w:rFonts w:ascii="仿宋_GB2312" w:eastAsia="仿宋_GB2312"/>
          <w:b w:val="0"/>
          <w:sz w:val="32"/>
          <w:szCs w:val="32"/>
        </w:rPr>
        <w:t>，对2024年重点项目进行事前绩效评估，由书记会</w:t>
      </w:r>
      <w:r>
        <w:rPr>
          <w:rFonts w:hint="eastAsia" w:ascii="仿宋_GB2312" w:eastAsia="仿宋_GB2312"/>
          <w:b w:val="0"/>
          <w:sz w:val="32"/>
          <w:szCs w:val="32"/>
          <w:lang w:eastAsia="zh-CN"/>
        </w:rPr>
        <w:t>根据项目的</w:t>
      </w:r>
      <w:r>
        <w:rPr>
          <w:rFonts w:ascii="仿宋_GB2312" w:eastAsia="仿宋_GB2312"/>
          <w:b w:val="0"/>
          <w:sz w:val="32"/>
          <w:szCs w:val="32"/>
        </w:rPr>
        <w:t>必要性、经济性、合理性、可行性、合规性等</w:t>
      </w:r>
      <w:r>
        <w:rPr>
          <w:rFonts w:hint="eastAsia" w:ascii="仿宋_GB2312" w:eastAsia="仿宋_GB2312"/>
          <w:b w:val="0"/>
          <w:sz w:val="32"/>
          <w:szCs w:val="32"/>
          <w:lang w:eastAsia="zh-CN"/>
        </w:rPr>
        <w:t>综合</w:t>
      </w:r>
      <w:r>
        <w:rPr>
          <w:rFonts w:ascii="仿宋_GB2312" w:eastAsia="仿宋_GB2312"/>
          <w:b w:val="0"/>
          <w:sz w:val="32"/>
          <w:szCs w:val="32"/>
        </w:rPr>
        <w:t>情况评估审定。二是强化绩效目标管理。分解细化各项工作任务和财政资金“总盘子”，各部室逐项设置绩效目标，要突出社会效益、可持续影响和服务对象满意度等绩效指标。三是开展绩效评价和结果应用。绩效目标完成后，形成绩效总结，开展绩效评价。就2024年度预算执行情况及政策、项目实施效果开展绩效自评，评价结果报送自治区财政厅。四是强化绩效管理激励约束。各部室整体绩效与预算安排挂钩，对绩效好的项目原则上优先保障，对未能如期实现绩效目标或绩效评价较差的，在编制下年度预算时适当调减项目资金额度，形成奖优罚劣的绩效激励机制。各部室负责人对项目预算绩效负责，对重大项目目标实行终身责任追究制，让责任压力上承顶端、下达末梢。发现的问题及原因：一是预算绩效管理工作开展时间较短，个别部室对全面实施预算绩效管理的重要性认识不足，全过程预算管理链条不够完善，事中监控还存在一些薄弱环节</w:t>
      </w:r>
      <w:r>
        <w:rPr>
          <w:rFonts w:hint="eastAsia" w:ascii="仿宋_GB2312" w:eastAsia="仿宋_GB2312"/>
          <w:b w:val="0"/>
          <w:sz w:val="32"/>
          <w:szCs w:val="32"/>
          <w:lang w:eastAsia="zh-CN"/>
        </w:rPr>
        <w:t>。</w:t>
      </w:r>
      <w:r>
        <w:rPr>
          <w:rFonts w:ascii="仿宋_GB2312" w:eastAsia="仿宋_GB2312"/>
          <w:b w:val="0"/>
          <w:sz w:val="32"/>
          <w:szCs w:val="32"/>
        </w:rPr>
        <w:t>二是个别项目预算执行进度较慢。下一步改进措施：一是自治区团委将严格按照各项财务规章制度开展工作</w:t>
      </w:r>
      <w:r>
        <w:rPr>
          <w:rFonts w:hint="eastAsia" w:ascii="仿宋_GB2312" w:eastAsia="仿宋_GB2312"/>
          <w:b w:val="0"/>
          <w:sz w:val="32"/>
          <w:szCs w:val="32"/>
          <w:lang w:eastAsia="zh-CN"/>
        </w:rPr>
        <w:t>。</w:t>
      </w:r>
      <w:r>
        <w:rPr>
          <w:rFonts w:ascii="仿宋_GB2312" w:eastAsia="仿宋_GB2312"/>
          <w:b w:val="0"/>
          <w:sz w:val="32"/>
          <w:szCs w:val="32"/>
        </w:rPr>
        <w:t>二是各部室依据绩效管理相关规定开展工作，做到事前有绩效评估，事中有绩效监控，事后有绩效评价，实现绩效过程全覆盖。具体附部门整体支出绩效自评表，项目支出绩效自评表和部门评价报告。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一是本年度团委本级涉及转移支付地州项目1个，项目名称为大学生志愿者服务西部计划自治区配套项目，涉及金额2,889.18万元（其中16.40万元在本单位使用，2,872.78万元转移支付至地州），该项目绩效自评表在本单位公开，但转移支付地州资金未在本单位决算数据中反映；二是团委本级年中追加项目青年英才资助项目17.00万元及新时代党的治疆方略课题研究经费0.61万元，其项目绩效自评表分别在自治区党委宣传部及自治区社科联对应项目公开，资金在我单位决算数据中体现；三是团委本级全国项目西部计划志愿者补助资金108.77万元，全部在绩效自评表中体现，其中63.42万元为中央结算收回资金，未在我单位决算数据中体现；四是新疆青少年发展中心执行的“宣传系统重点项目补助经费—国通语大赛”项目，预算金额30.00万元，支出数据在青少年发展中心决算数据中体现，项目绩效自评表统一由自治区党委宣传部公开。</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000000"/>
    <w:rsid w:val="01CC7C92"/>
    <w:rsid w:val="01F82835"/>
    <w:rsid w:val="02E1776D"/>
    <w:rsid w:val="03105E59"/>
    <w:rsid w:val="03547F3F"/>
    <w:rsid w:val="04021749"/>
    <w:rsid w:val="04763EE5"/>
    <w:rsid w:val="056F2E0E"/>
    <w:rsid w:val="05CD3FD8"/>
    <w:rsid w:val="05ED2F51"/>
    <w:rsid w:val="064918B1"/>
    <w:rsid w:val="06B55198"/>
    <w:rsid w:val="07576777"/>
    <w:rsid w:val="0889727B"/>
    <w:rsid w:val="0C0544CC"/>
    <w:rsid w:val="0C37664F"/>
    <w:rsid w:val="0CC2416B"/>
    <w:rsid w:val="0D4B23B2"/>
    <w:rsid w:val="0E2A7DC2"/>
    <w:rsid w:val="0E745939"/>
    <w:rsid w:val="0E8518F4"/>
    <w:rsid w:val="10305890"/>
    <w:rsid w:val="10F44B0F"/>
    <w:rsid w:val="110E3A9D"/>
    <w:rsid w:val="11936FD1"/>
    <w:rsid w:val="12011292"/>
    <w:rsid w:val="127B4B72"/>
    <w:rsid w:val="13076D7C"/>
    <w:rsid w:val="13141499"/>
    <w:rsid w:val="13DF1AA7"/>
    <w:rsid w:val="141F6347"/>
    <w:rsid w:val="15267261"/>
    <w:rsid w:val="15F829AC"/>
    <w:rsid w:val="170671B4"/>
    <w:rsid w:val="17147CB9"/>
    <w:rsid w:val="17346245"/>
    <w:rsid w:val="176B77A7"/>
    <w:rsid w:val="185B5474"/>
    <w:rsid w:val="19305C51"/>
    <w:rsid w:val="19CC6629"/>
    <w:rsid w:val="19DC4185"/>
    <w:rsid w:val="1A1B4EBB"/>
    <w:rsid w:val="1A1F0E4F"/>
    <w:rsid w:val="1A450189"/>
    <w:rsid w:val="1B5E59A7"/>
    <w:rsid w:val="1BC34195"/>
    <w:rsid w:val="1BF61A7E"/>
    <w:rsid w:val="1EB27BD0"/>
    <w:rsid w:val="1F7D3F22"/>
    <w:rsid w:val="20937EA1"/>
    <w:rsid w:val="20E56222"/>
    <w:rsid w:val="21050673"/>
    <w:rsid w:val="21366A7E"/>
    <w:rsid w:val="217A28E4"/>
    <w:rsid w:val="224A458F"/>
    <w:rsid w:val="229D6DB5"/>
    <w:rsid w:val="23201794"/>
    <w:rsid w:val="23351123"/>
    <w:rsid w:val="23627FFE"/>
    <w:rsid w:val="23BD47E8"/>
    <w:rsid w:val="24AD52A9"/>
    <w:rsid w:val="257F27A2"/>
    <w:rsid w:val="25973F8F"/>
    <w:rsid w:val="25AD710F"/>
    <w:rsid w:val="25DD571A"/>
    <w:rsid w:val="270F7B55"/>
    <w:rsid w:val="285D6A2A"/>
    <w:rsid w:val="28A17DCD"/>
    <w:rsid w:val="28DB23E5"/>
    <w:rsid w:val="28DD039D"/>
    <w:rsid w:val="294925BC"/>
    <w:rsid w:val="2987256D"/>
    <w:rsid w:val="29E7300B"/>
    <w:rsid w:val="2A07545B"/>
    <w:rsid w:val="2A13795C"/>
    <w:rsid w:val="2A465F84"/>
    <w:rsid w:val="2A74216C"/>
    <w:rsid w:val="2C3D5164"/>
    <w:rsid w:val="2CBF201D"/>
    <w:rsid w:val="2CEF2903"/>
    <w:rsid w:val="2D4B38B1"/>
    <w:rsid w:val="2D83129D"/>
    <w:rsid w:val="2DA21723"/>
    <w:rsid w:val="2DB24D4A"/>
    <w:rsid w:val="2E444588"/>
    <w:rsid w:val="2E876B6B"/>
    <w:rsid w:val="2FAE2B5F"/>
    <w:rsid w:val="31012C04"/>
    <w:rsid w:val="33BE4DDD"/>
    <w:rsid w:val="34D4418C"/>
    <w:rsid w:val="35521C81"/>
    <w:rsid w:val="358856A2"/>
    <w:rsid w:val="35EF5721"/>
    <w:rsid w:val="36370E76"/>
    <w:rsid w:val="36525CB0"/>
    <w:rsid w:val="36B97ADD"/>
    <w:rsid w:val="36CE17DB"/>
    <w:rsid w:val="372C02AF"/>
    <w:rsid w:val="37D72911"/>
    <w:rsid w:val="38F1355F"/>
    <w:rsid w:val="392C0A3B"/>
    <w:rsid w:val="39A84565"/>
    <w:rsid w:val="39F257E0"/>
    <w:rsid w:val="39F81EAF"/>
    <w:rsid w:val="3AE570F3"/>
    <w:rsid w:val="3B4E4C98"/>
    <w:rsid w:val="3B717625"/>
    <w:rsid w:val="3C1E436A"/>
    <w:rsid w:val="3CB52AF5"/>
    <w:rsid w:val="3D5F6534"/>
    <w:rsid w:val="3D734E8A"/>
    <w:rsid w:val="3DB64500"/>
    <w:rsid w:val="3DDD67A7"/>
    <w:rsid w:val="3E285C74"/>
    <w:rsid w:val="3F731171"/>
    <w:rsid w:val="3FF102E8"/>
    <w:rsid w:val="43DB72E5"/>
    <w:rsid w:val="447339C1"/>
    <w:rsid w:val="44882E25"/>
    <w:rsid w:val="450A0588"/>
    <w:rsid w:val="45A8769B"/>
    <w:rsid w:val="46C67DD9"/>
    <w:rsid w:val="482C6B18"/>
    <w:rsid w:val="48376AB4"/>
    <w:rsid w:val="483919CC"/>
    <w:rsid w:val="4B18650D"/>
    <w:rsid w:val="4B2C48CA"/>
    <w:rsid w:val="4B5736F5"/>
    <w:rsid w:val="4B5C0D0B"/>
    <w:rsid w:val="4B897627"/>
    <w:rsid w:val="4BB723E6"/>
    <w:rsid w:val="4CFF2296"/>
    <w:rsid w:val="4E9C3B15"/>
    <w:rsid w:val="4F2953A8"/>
    <w:rsid w:val="506568B4"/>
    <w:rsid w:val="52E02222"/>
    <w:rsid w:val="536746F1"/>
    <w:rsid w:val="547846DC"/>
    <w:rsid w:val="5596306C"/>
    <w:rsid w:val="55CC4CE0"/>
    <w:rsid w:val="560C332E"/>
    <w:rsid w:val="561F5757"/>
    <w:rsid w:val="563805C7"/>
    <w:rsid w:val="569D042A"/>
    <w:rsid w:val="5886386C"/>
    <w:rsid w:val="58BA3515"/>
    <w:rsid w:val="59B14918"/>
    <w:rsid w:val="59F20A8D"/>
    <w:rsid w:val="5A0013FC"/>
    <w:rsid w:val="5B916297"/>
    <w:rsid w:val="5BC30933"/>
    <w:rsid w:val="5D0E3E30"/>
    <w:rsid w:val="5DF23751"/>
    <w:rsid w:val="5E062D59"/>
    <w:rsid w:val="5EB01F09"/>
    <w:rsid w:val="5FA6729F"/>
    <w:rsid w:val="5FDC73C0"/>
    <w:rsid w:val="60B648A8"/>
    <w:rsid w:val="6211064A"/>
    <w:rsid w:val="622163B3"/>
    <w:rsid w:val="624327CD"/>
    <w:rsid w:val="62A74B0A"/>
    <w:rsid w:val="62C3746A"/>
    <w:rsid w:val="63251ED3"/>
    <w:rsid w:val="6477675E"/>
    <w:rsid w:val="64EA33D4"/>
    <w:rsid w:val="65136487"/>
    <w:rsid w:val="655B7E2E"/>
    <w:rsid w:val="65DE4CE7"/>
    <w:rsid w:val="66544FA9"/>
    <w:rsid w:val="66EB5BF3"/>
    <w:rsid w:val="68214387"/>
    <w:rsid w:val="68701E42"/>
    <w:rsid w:val="69E14DA6"/>
    <w:rsid w:val="6A2E5B11"/>
    <w:rsid w:val="6A771266"/>
    <w:rsid w:val="6AE54422"/>
    <w:rsid w:val="6E2D0758"/>
    <w:rsid w:val="6E4E0530"/>
    <w:rsid w:val="6E9A19C7"/>
    <w:rsid w:val="6EC151A6"/>
    <w:rsid w:val="6F152DFC"/>
    <w:rsid w:val="6F865AA7"/>
    <w:rsid w:val="6FC0545D"/>
    <w:rsid w:val="6FFB6495"/>
    <w:rsid w:val="70D10B12"/>
    <w:rsid w:val="70F058CE"/>
    <w:rsid w:val="721E46BD"/>
    <w:rsid w:val="72760055"/>
    <w:rsid w:val="72B92879"/>
    <w:rsid w:val="73722F12"/>
    <w:rsid w:val="745E5F99"/>
    <w:rsid w:val="747C1C85"/>
    <w:rsid w:val="74DA0950"/>
    <w:rsid w:val="759A04FF"/>
    <w:rsid w:val="762A3631"/>
    <w:rsid w:val="766528BB"/>
    <w:rsid w:val="766A1C7F"/>
    <w:rsid w:val="78DA7590"/>
    <w:rsid w:val="79A263A3"/>
    <w:rsid w:val="7B5F3D7C"/>
    <w:rsid w:val="7D3905FD"/>
    <w:rsid w:val="7D935010"/>
    <w:rsid w:val="7DA10A0F"/>
    <w:rsid w:val="7E2E3EDA"/>
    <w:rsid w:val="7E694F12"/>
    <w:rsid w:val="7E957AB5"/>
    <w:rsid w:val="7F9C51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Cambria" w:hAnsi="Cambria" w:eastAsia="宋体" w:cs="Times New Roman"/>
      <w:b/>
      <w:bCs/>
      <w:color w:val="366091"/>
      <w:sz w:val="28"/>
      <w:szCs w:val="28"/>
    </w:rPr>
  </w:style>
  <w:style w:type="paragraph" w:styleId="3">
    <w:name w:val="heading 2"/>
    <w:basedOn w:val="1"/>
    <w:next w:val="1"/>
    <w:link w:val="18"/>
    <w:unhideWhenUsed/>
    <w:qFormat/>
    <w:uiPriority w:val="9"/>
    <w:pPr>
      <w:keepNext/>
      <w:keepLines/>
      <w:spacing w:before="200"/>
      <w:outlineLvl w:val="1"/>
    </w:pPr>
    <w:rPr>
      <w:rFonts w:ascii="Cambria" w:hAnsi="Cambria" w:eastAsia="宋体" w:cs="Times New Roman"/>
      <w:b/>
      <w:bCs/>
      <w:color w:val="4F81BD"/>
      <w:sz w:val="26"/>
      <w:szCs w:val="26"/>
    </w:rPr>
  </w:style>
  <w:style w:type="paragraph" w:styleId="4">
    <w:name w:val="heading 3"/>
    <w:basedOn w:val="1"/>
    <w:next w:val="1"/>
    <w:link w:val="19"/>
    <w:unhideWhenUsed/>
    <w:qFormat/>
    <w:uiPriority w:val="9"/>
    <w:pPr>
      <w:keepNext/>
      <w:keepLines/>
      <w:spacing w:before="200"/>
      <w:outlineLvl w:val="2"/>
    </w:pPr>
    <w:rPr>
      <w:rFonts w:ascii="Cambria" w:hAnsi="Cambria" w:eastAsia="宋体" w:cs="Times New Roman"/>
      <w:b/>
      <w:bCs/>
      <w:color w:val="4F81BD"/>
    </w:rPr>
  </w:style>
  <w:style w:type="paragraph" w:styleId="5">
    <w:name w:val="heading 4"/>
    <w:basedOn w:val="1"/>
    <w:next w:val="1"/>
    <w:link w:val="20"/>
    <w:unhideWhenUsed/>
    <w:qFormat/>
    <w:uiPriority w:val="9"/>
    <w:pPr>
      <w:keepNext/>
      <w:keepLines/>
      <w:spacing w:before="200"/>
      <w:outlineLvl w:val="3"/>
    </w:pPr>
    <w:rPr>
      <w:rFonts w:ascii="Cambria" w:hAnsi="Cambria" w:eastAsia="宋体" w:cs="Times New Roman"/>
      <w:b/>
      <w:bCs/>
      <w:i/>
      <w:iCs/>
      <w:color w:val="4F81BD"/>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Cambria" w:hAnsi="Cambria" w:eastAsia="宋体" w:cs="Times New Roman"/>
      <w:i/>
      <w:iCs/>
      <w:color w:val="4F81BD"/>
      <w:spacing w:val="15"/>
      <w:sz w:val="24"/>
      <w:szCs w:val="24"/>
    </w:rPr>
  </w:style>
  <w:style w:type="paragraph" w:styleId="10">
    <w:name w:val="Title"/>
    <w:basedOn w:val="1"/>
    <w:next w:val="1"/>
    <w:link w:val="22"/>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Cambria" w:hAnsi="Cambria" w:eastAsia="宋体" w:cs="Times New Roman"/>
      <w:b/>
      <w:bCs/>
      <w:color w:val="366091"/>
      <w:sz w:val="28"/>
      <w:szCs w:val="28"/>
    </w:rPr>
  </w:style>
  <w:style w:type="character" w:customStyle="1" w:styleId="18">
    <w:name w:val="Heading 2 Char"/>
    <w:basedOn w:val="13"/>
    <w:link w:val="3"/>
    <w:qFormat/>
    <w:uiPriority w:val="9"/>
    <w:rPr>
      <w:rFonts w:ascii="Cambria" w:hAnsi="Cambria" w:eastAsia="宋体" w:cs="Times New Roman"/>
      <w:b/>
      <w:bCs/>
      <w:color w:val="4F81BD"/>
      <w:sz w:val="26"/>
      <w:szCs w:val="26"/>
    </w:rPr>
  </w:style>
  <w:style w:type="character" w:customStyle="1" w:styleId="19">
    <w:name w:val="Heading 3 Char"/>
    <w:basedOn w:val="13"/>
    <w:link w:val="4"/>
    <w:qFormat/>
    <w:uiPriority w:val="9"/>
    <w:rPr>
      <w:rFonts w:ascii="Cambria" w:hAnsi="Cambria" w:eastAsia="宋体" w:cs="Times New Roman"/>
      <w:b/>
      <w:bCs/>
      <w:color w:val="4F81BD"/>
    </w:rPr>
  </w:style>
  <w:style w:type="character" w:customStyle="1" w:styleId="20">
    <w:name w:val="Heading 4 Char"/>
    <w:basedOn w:val="13"/>
    <w:link w:val="5"/>
    <w:qFormat/>
    <w:uiPriority w:val="9"/>
    <w:rPr>
      <w:rFonts w:ascii="Cambria" w:hAnsi="Cambria" w:eastAsia="宋体" w:cs="Times New Roman"/>
      <w:b/>
      <w:bCs/>
      <w:i/>
      <w:iCs/>
      <w:color w:val="4F81BD"/>
    </w:rPr>
  </w:style>
  <w:style w:type="character" w:customStyle="1" w:styleId="21">
    <w:name w:val="Subtitle Char"/>
    <w:basedOn w:val="13"/>
    <w:link w:val="9"/>
    <w:uiPriority w:val="11"/>
    <w:rPr>
      <w:rFonts w:ascii="Cambria" w:hAnsi="Cambria" w:eastAsia="宋体" w:cs="Times New Roman"/>
      <w:i/>
      <w:iCs/>
      <w:color w:val="4F81BD"/>
      <w:spacing w:val="15"/>
      <w:sz w:val="24"/>
      <w:szCs w:val="24"/>
    </w:rPr>
  </w:style>
  <w:style w:type="character" w:customStyle="1" w:styleId="22">
    <w:name w:val="Title Char"/>
    <w:basedOn w:val="13"/>
    <w:link w:val="10"/>
    <w:uiPriority w:val="10"/>
    <w:rPr>
      <w:rFonts w:ascii="Cambria" w:hAnsi="Cambria" w:eastAsia="宋体" w:cs="Times New Roman"/>
      <w:color w:val="17365D"/>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7825</Words>
  <Characters>8885</Characters>
  <TotalTime>11</TotalTime>
  <ScaleCrop>false</ScaleCrop>
  <LinksUpToDate>false</LinksUpToDate>
  <CharactersWithSpaces>8895</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2025-08-26T10:45:00Z</dcterms:created>
  <dc:creator>Administrator</dc:creator>
  <cp:lastModifiedBy>Administrator</cp:lastModifiedBy>
  <dcterms:modified xsi:type="dcterms:W3CDTF">2025-08-27T11:54:58Z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EDC0DD4D31864D39A479BAF3E74222DA_13</vt:lpwstr>
  </property>
</Properties>
</file>