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宋体" w:eastAsia="宋体"/>
          <w:sz w:val="32"/>
          <w:szCs w:val="32"/>
        </w:rPr>
      </w:pPr>
    </w:p>
    <w:p>
      <w:pPr>
        <w:spacing w:line="240" w:lineRule="auto"/>
        <w:rPr>
          <w:rFonts w:ascii="宋体" w:eastAsia="宋体"/>
          <w:sz w:val="44"/>
          <w:szCs w:val="44"/>
        </w:rPr>
      </w:pPr>
    </w:p>
    <w:p>
      <w:pPr>
        <w:spacing w:line="240" w:lineRule="auto"/>
        <w:rPr>
          <w:rFonts w:ascii="宋体" w:eastAsia="宋体"/>
          <w:sz w:val="44"/>
          <w:szCs w:val="44"/>
        </w:rPr>
      </w:pPr>
    </w:p>
    <w:p>
      <w:pPr>
        <w:spacing w:line="240" w:lineRule="auto"/>
        <w:rPr>
          <w:rFonts w:ascii="宋体" w:eastAsia="宋体"/>
          <w:sz w:val="44"/>
          <w:szCs w:val="44"/>
        </w:rPr>
      </w:pPr>
    </w:p>
    <w:p>
      <w:pPr>
        <w:spacing w:line="240" w:lineRule="auto"/>
        <w:jc w:val="center"/>
        <w:outlineLvl w:val="0"/>
        <w:rPr>
          <w:rFonts w:ascii="宋体" w:eastAsia="黑体"/>
          <w:sz w:val="44"/>
          <w:szCs w:val="44"/>
          <w:lang w:eastAsia="zh-CN"/>
        </w:rPr>
      </w:pPr>
      <w:r>
        <w:rPr>
          <w:rFonts w:ascii="宋体" w:eastAsia="黑体"/>
          <w:sz w:val="44"/>
          <w:szCs w:val="44"/>
          <w:lang w:eastAsia="zh-CN"/>
        </w:rPr>
        <w:t>新疆维吾尔自治区人民政府驻北京办事处</w:t>
      </w:r>
    </w:p>
    <w:p>
      <w:pPr>
        <w:spacing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pPr>
        <w:rPr>
          <w:lang w:eastAsia="zh-CN"/>
        </w:rPr>
      </w:pPr>
      <w:r>
        <w:rPr>
          <w:sz w:val="0"/>
          <w:szCs w:val="0"/>
          <w:lang w:eastAsia="zh-CN"/>
        </w:rPr>
        <w:br w:type="page"/>
      </w:r>
    </w:p>
    <w:p>
      <w:pPr>
        <w:spacing w:line="240" w:lineRule="auto"/>
        <w:jc w:val="center"/>
        <w:rPr>
          <w:rFonts w:ascii="黑体" w:eastAsia="黑体"/>
          <w:sz w:val="32"/>
          <w:szCs w:val="32"/>
          <w:lang w:eastAsia="zh-CN"/>
        </w:rPr>
      </w:pPr>
      <w:r>
        <w:rPr>
          <w:rFonts w:ascii="黑体" w:eastAsia="黑体"/>
          <w:b/>
          <w:sz w:val="32"/>
          <w:szCs w:val="32"/>
          <w:lang w:eastAsia="zh-CN"/>
        </w:rPr>
        <w:t>目录</w:t>
      </w:r>
    </w:p>
    <w:p>
      <w:pPr>
        <w:spacing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pPr>
        <w:spacing w:line="240" w:lineRule="auto"/>
        <w:rPr>
          <w:rFonts w:ascii="仿宋_GB2312" w:eastAsia="仿宋_GB2312"/>
          <w:sz w:val="32"/>
          <w:szCs w:val="32"/>
          <w:lang w:eastAsia="zh-CN"/>
        </w:rPr>
      </w:pPr>
      <w:r>
        <w:rPr>
          <w:rFonts w:ascii="仿宋_GB2312" w:eastAsia="仿宋_GB2312"/>
          <w:sz w:val="32"/>
          <w:szCs w:val="32"/>
          <w:lang w:eastAsia="zh-CN"/>
        </w:rPr>
        <w:t>一、主要职能</w:t>
      </w:r>
    </w:p>
    <w:p>
      <w:pPr>
        <w:spacing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pPr>
        <w:spacing w:line="240" w:lineRule="auto"/>
        <w:rPr>
          <w:rFonts w:ascii="仿宋_GB2312" w:eastAsia="仿宋_GB2312"/>
          <w:sz w:val="32"/>
          <w:szCs w:val="32"/>
          <w:lang w:eastAsia="zh-CN"/>
        </w:rPr>
      </w:pPr>
      <w:r>
        <w:rPr>
          <w:rFonts w:ascii="仿宋_GB2312" w:eastAsia="仿宋_GB2312"/>
          <w:b/>
          <w:sz w:val="32"/>
          <w:szCs w:val="32"/>
          <w:lang w:eastAsia="zh-CN"/>
        </w:rPr>
        <w:t>第二部分部门决算情况说明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line="240" w:lineRule="auto"/>
        <w:rPr>
          <w:rFonts w:ascii="仿宋_GB2312" w:eastAsia="仿宋_GB2312"/>
          <w:sz w:val="32"/>
          <w:szCs w:val="32"/>
          <w:lang w:eastAsia="zh-CN"/>
        </w:rPr>
      </w:pPr>
      <w:r>
        <w:rPr>
          <w:rFonts w:ascii="仿宋_GB2312" w:eastAsia="仿宋_GB2312"/>
          <w:sz w:val="32"/>
          <w:szCs w:val="32"/>
          <w:lang w:eastAsia="zh-CN"/>
        </w:rPr>
        <w:t>（二）政府采购情况</w:t>
      </w:r>
    </w:p>
    <w:p>
      <w:pPr>
        <w:spacing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pPr>
        <w:spacing w:line="240" w:lineRule="auto"/>
        <w:rPr>
          <w:rFonts w:ascii="仿宋_GB2312" w:eastAsia="仿宋_GB2312"/>
          <w:sz w:val="32"/>
          <w:szCs w:val="32"/>
          <w:lang w:eastAsia="zh-CN"/>
        </w:rPr>
      </w:pPr>
      <w:r>
        <w:rPr>
          <w:rFonts w:ascii="仿宋_GB2312" w:eastAsia="仿宋_GB2312"/>
          <w:b/>
          <w:sz w:val="32"/>
          <w:szCs w:val="32"/>
          <w:lang w:eastAsia="zh-CN"/>
        </w:rPr>
        <w:t>第三部分专业名词解释</w:t>
      </w:r>
    </w:p>
    <w:p>
      <w:pPr>
        <w:spacing w:line="240" w:lineRule="auto"/>
        <w:rPr>
          <w:rFonts w:ascii="仿宋_GB2312" w:eastAsia="仿宋_GB2312"/>
          <w:sz w:val="32"/>
          <w:szCs w:val="32"/>
          <w:lang w:eastAsia="zh-CN"/>
        </w:rPr>
      </w:pPr>
      <w:r>
        <w:rPr>
          <w:rFonts w:ascii="仿宋_GB2312" w:eastAsia="仿宋_GB2312"/>
          <w:b/>
          <w:sz w:val="32"/>
          <w:szCs w:val="32"/>
          <w:lang w:eastAsia="zh-CN"/>
        </w:rPr>
        <w:t>第四部分部门决算报表（见附表）</w:t>
      </w:r>
    </w:p>
    <w:p>
      <w:pPr>
        <w:spacing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pPr>
        <w:spacing w:line="240" w:lineRule="auto"/>
        <w:rPr>
          <w:rFonts w:ascii="仿宋_GB2312" w:eastAsia="仿宋_GB2312"/>
          <w:sz w:val="32"/>
          <w:szCs w:val="32"/>
          <w:lang w:eastAsia="zh-CN"/>
        </w:rPr>
      </w:pPr>
      <w:r>
        <w:rPr>
          <w:rFonts w:ascii="仿宋_GB2312" w:eastAsia="仿宋_GB2312"/>
          <w:sz w:val="32"/>
          <w:szCs w:val="32"/>
          <w:lang w:eastAsia="zh-CN"/>
        </w:rPr>
        <w:t>二、《收入决算表》</w:t>
      </w:r>
    </w:p>
    <w:p>
      <w:pPr>
        <w:spacing w:line="240" w:lineRule="auto"/>
        <w:rPr>
          <w:rFonts w:ascii="仿宋_GB2312" w:eastAsia="仿宋_GB2312"/>
          <w:sz w:val="32"/>
          <w:szCs w:val="32"/>
          <w:lang w:eastAsia="zh-CN"/>
        </w:rPr>
      </w:pPr>
      <w:r>
        <w:rPr>
          <w:rFonts w:ascii="仿宋_GB2312" w:eastAsia="仿宋_GB2312"/>
          <w:sz w:val="32"/>
          <w:szCs w:val="32"/>
          <w:lang w:eastAsia="zh-CN"/>
        </w:rPr>
        <w:t>三、《支出决算表》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pPr>
        <w:rPr>
          <w:lang w:eastAsia="zh-CN"/>
        </w:rPr>
      </w:pPr>
      <w:r>
        <w:rPr>
          <w:sz w:val="0"/>
          <w:szCs w:val="0"/>
          <w:lang w:eastAsia="zh-CN"/>
        </w:rPr>
        <w:br w:type="page"/>
      </w:r>
    </w:p>
    <w:p>
      <w:pPr>
        <w:spacing w:line="240" w:lineRule="auto"/>
        <w:jc w:val="center"/>
        <w:outlineLvl w:val="0"/>
        <w:rPr>
          <w:rFonts w:ascii="黑体" w:eastAsia="黑体"/>
          <w:sz w:val="32"/>
          <w:szCs w:val="32"/>
          <w:lang w:eastAsia="zh-CN"/>
        </w:rPr>
      </w:pPr>
      <w:r>
        <w:rPr>
          <w:rFonts w:ascii="黑体" w:eastAsia="黑体"/>
          <w:sz w:val="32"/>
          <w:szCs w:val="32"/>
          <w:lang w:eastAsia="zh-CN"/>
        </w:rPr>
        <w:t>第一部分单位概况</w:t>
      </w:r>
    </w:p>
    <w:p>
      <w:pPr>
        <w:spacing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pPr>
        <w:spacing w:line="240" w:lineRule="auto"/>
        <w:ind w:firstLine="640" w:firstLineChars="200"/>
        <w:jc w:val="both"/>
        <w:rPr>
          <w:rFonts w:hint="default" w:ascii="仿宋_GB2312" w:eastAsia="仿宋_GB2312"/>
          <w:sz w:val="32"/>
          <w:szCs w:val="32"/>
          <w:lang w:val="en" w:eastAsia="zh-CN"/>
        </w:rPr>
      </w:pPr>
      <w:r>
        <w:rPr>
          <w:rFonts w:ascii="仿宋_GB2312" w:eastAsia="仿宋_GB2312"/>
          <w:sz w:val="32"/>
          <w:szCs w:val="32"/>
          <w:lang w:val="en" w:eastAsia="zh-CN"/>
        </w:rPr>
        <w:t>单位职能不予公开</w:t>
      </w:r>
    </w:p>
    <w:p>
      <w:pPr>
        <w:numPr>
          <w:ilvl w:val="0"/>
          <w:numId w:val="1"/>
        </w:numPr>
        <w:spacing w:line="240" w:lineRule="auto"/>
        <w:ind w:firstLine="640" w:firstLineChars="200"/>
        <w:outlineLvl w:val="1"/>
        <w:rPr>
          <w:rFonts w:hint="eastAsia" w:ascii="黑体" w:eastAsia="黑体"/>
          <w:sz w:val="32"/>
          <w:szCs w:val="32"/>
          <w:lang w:eastAsia="zh-CN"/>
        </w:rPr>
      </w:pPr>
      <w:r>
        <w:rPr>
          <w:rFonts w:hint="eastAsia" w:ascii="黑体" w:eastAsia="黑体"/>
          <w:sz w:val="32"/>
          <w:szCs w:val="32"/>
          <w:lang w:eastAsia="zh-CN"/>
        </w:rPr>
        <w:t>机构设置及人员情况</w:t>
      </w:r>
    </w:p>
    <w:p>
      <w:pPr>
        <w:spacing w:line="240" w:lineRule="auto"/>
        <w:ind w:firstLine="640" w:firstLineChars="200"/>
        <w:jc w:val="both"/>
        <w:rPr>
          <w:rFonts w:hint="default" w:ascii="仿宋_GB2312" w:eastAsia="仿宋_GB2312"/>
          <w:sz w:val="32"/>
          <w:szCs w:val="32"/>
          <w:lang w:val="en" w:eastAsia="zh-CN"/>
        </w:rPr>
      </w:pPr>
      <w:r>
        <w:rPr>
          <w:rFonts w:hint="default" w:ascii="仿宋_GB2312" w:eastAsia="仿宋_GB2312"/>
          <w:sz w:val="32"/>
          <w:szCs w:val="32"/>
          <w:lang w:val="en" w:eastAsia="zh-CN"/>
        </w:rPr>
        <w:t>单位机构设置和人员情况不予公开</w:t>
      </w:r>
    </w:p>
    <w:p>
      <w:pPr>
        <w:rPr>
          <w:lang w:eastAsia="zh-CN"/>
        </w:rPr>
      </w:pPr>
      <w:r>
        <w:rPr>
          <w:sz w:val="0"/>
          <w:szCs w:val="0"/>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第二部分部门决算情况说明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一、收入支出决算总体情况说明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2024年度收入总计3,702.99万元，其中：本年收入合计3,692.50万元，使用非财政拨款结余（含专用结余）0.00万元，年初结转和结余10.49万元。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2024年度支出总计3,702.99万元，其中：本年支出合计3,691.22万元，结余分配0.00万元，年末结转和结余11.77万元。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收入支出总体与上年相比，增加23.69万元，增长0.64%，主要原因是：人员增资、补发工资及安排绩效奖。</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二、收入决算情况说明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本年收入3,692.50万元，其中：财政拨款收入3,691.22万元,占99.97%；上级补助收入0.00万元,占0.00%；事业收入0.00万元，占0.00%；经营收入0.00万元,占0.00%；附属单位上缴收入0.00万元，占0.00%；其他收入1.28万元，占0.03%。</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三、支出决算情况说明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本年支出3,691.22万元，其中：基本支出1,359.27万元，占36.82%；项目支出2,331.95万元，占63.18%；上缴上级支出0.00万元，占0.00%；经营支出0.00万元，占0.00%；对附属单位补助支出0.00万元，占0.00%。</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四、财政拨款收入支出决算总体情况说明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财政拨款收入总计3,691.22万元，其中：年初财政拨款结转和结余0.00万元，本年财政拨款收入3,691.22万元。财政拨款支出总计3,691.22万元，其中：年末财政拨款结转和结余0.00万元，本年财政拨款支出3,691.22万元。</w:t>
      </w:r>
    </w:p>
    <w:p>
      <w:pPr>
        <w:pStyle w:val="27"/>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财政拨款收入支出总体与上年相比，增加24.02万元，增长0.65%，主要原因是：人员增资、补发工资及</w:t>
      </w:r>
      <w:r>
        <w:rPr>
          <w:rFonts w:hint="eastAsia" w:hAnsi="仿宋_GB2312" w:cs="仿宋_GB2312"/>
          <w:sz w:val="32"/>
          <w:szCs w:val="32"/>
          <w:lang w:eastAsia="zh-CN"/>
        </w:rPr>
        <w:t>发放</w:t>
      </w:r>
      <w:r>
        <w:rPr>
          <w:rFonts w:hint="eastAsia" w:ascii="仿宋_GB2312" w:hAnsi="仿宋_GB2312" w:eastAsia="仿宋_GB2312" w:cs="仿宋_GB2312"/>
          <w:sz w:val="32"/>
          <w:szCs w:val="32"/>
        </w:rPr>
        <w:t>绩效奖。与年初预算相比，年初预算数4,161.84万元，决算数3,691.22万元，预决算差异率-11.31%，主要原因是：部分项目在当年未完成采购，无法执行。预算编制科学合理，预算执行受不可抗力轻微影响，总体严格有效。</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五、一般公共预算财政拨款支出决算情况说明</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（一）一般公共预算财政拨款支出决算总体情况</w:t>
      </w:r>
    </w:p>
    <w:p>
      <w:pPr>
        <w:pStyle w:val="27"/>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一般公共预算财政拨款支出3,691.22万元，占本年支出合计的100.00%。与上年相比，增加24.02万元，增长0.65%，主要原因是：人员增资、补发工资及安排绩效奖。与年初预算相比，年初预算数4,161.84万元，决算数3,691.22万元，预决算差异率-11.31%，主要原因是：部分项目在当年未完成采购，无法执行。预算编制科学合理，预算执行受不可抗力轻微影响，总体严格有效。</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（二）一般公共预算财政拨款支出决算结构情况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一般公共服务支出（类）3,322.82万元，占90.02%。</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社会保障和就业支出（类）183.94万元，占4.98%。</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卫生健康支出（类）102.93万元，占2.79%。</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住房保障支出（类）81.53万元，占2.21%。</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（三）一般公共预算财政拨款支出决算具体情况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一般公共服务支出（类）政府办公厅（室）及相关机构事务（款）行政运行（项）：支出决算数为646.14万元，比上年决算增加26.05万元，增长4.20%，主要原因是：人员增资、补发工资及安排绩效奖。</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一般公共服务支出（类）政府办公厅（室）及相关机构事务（款）事业运行（项）：支出决算数为344.74万元，比上年决算减少36.49万元，下降9.57%，主要原因是：人员减少，均为合理影响因素。</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一般公共服务支出（类）政府办公厅（室）及相关机构事务（款）其他政府办公厅（室）及相关机构事务支出（项）：支出决算数为2,331.95万元，比上年决算增加31.99万元，增长1.39%，主要原因是：</w:t>
      </w:r>
      <w:r>
        <w:rPr>
          <w:rFonts w:hint="eastAsia" w:ascii="仿宋_GB2312" w:hAnsi="仿宋_GB2312" w:eastAsia="仿宋_GB2312" w:cs="仿宋_GB2312"/>
          <w:color w:val="000000"/>
          <w:sz w:val="32"/>
          <w:szCs w:val="32"/>
          <w:lang w:eastAsia="zh-CN"/>
        </w:rPr>
        <w:t>增加公务用车购置费</w:t>
      </w:r>
      <w:r>
        <w:rPr>
          <w:rFonts w:hint="eastAsia" w:ascii="仿宋_GB2312" w:hAnsi="仿宋_GB2312" w:eastAsia="仿宋_GB2312" w:cs="仿宋_GB2312"/>
          <w:sz w:val="32"/>
          <w:szCs w:val="32"/>
          <w:lang w:eastAsia="zh-CN"/>
        </w:rPr>
        <w:t>，均为合理影响因素。</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行政单位离退休（项）：支出决算数为28.22万元，比上年决算减少52.17万元，下降64.90%，主要原因是：2023年应在社会保障和就业支出（类）行政事业单位养老支出（款）事业单位离退休（项）事业退休人员支出在此项列支。</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社会保障和就业支出（类）行政事业单位养老支出（款）事业单位离退休（项）：支出决算数为47.01万元，比上年决算增加47.01万元，增长100.00%，主要原因是：调整事业单位离退休人员支出类型。</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社会保障和就业支出（类）行政事业单位养老支出（款）机关事业单位基本养老保险缴费支出（项）：支出决算数为108.71万元，比上年决算增加2.82万元，增长2.66%，主要原因是：人员增资，调整社保基数。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卫生健康支出（类）行政事业单位医疗（款）行政单位医疗（项）：支出决算数为28.49万元，比上年决算增加1.88万元，增长7.07%，主要原因是：人员增资，调整社保基数。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卫生健康支出（类）行政事业单位医疗（款）事业单位医疗（项）：支出决算数为26.88万元，比上年决算减少0.41万元，下降1.50%，主要原因是：人员减少。</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卫生健康支出（类）行政事业单位医疗（款）公务员医疗补助（项）：支出决算数为47.56万元，比上年决算增加1.23万元，增长2.65%，主要原因是：人员增资，调整社保基数。</w:t>
      </w:r>
    </w:p>
    <w:p>
      <w:pPr>
        <w:keepNext w:val="0"/>
        <w:keepLines w:val="0"/>
        <w:pageBreakBefore w:val="0"/>
        <w:numPr>
          <w:ilvl w:val="0"/>
          <w:numId w:val="2"/>
        </w:numPr>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住房保障支出（类）住房改革支出（款）住房公积金（项）：支出决算数为81.53万元，比上年决算增加2.11万元，增长2.66%，主要原因是：人员增资，调整社保基数。</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六、一般公共预算财政拨款基本支出决算情况说明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一般公共预算财政拨款基本支出1,359.27万元，其中：人员经费1,179.96万元，包括：基本工资、津贴补贴、奖金、绩效工资、机关事业单位基本养老保险缴费、职工基本医疗保险缴费、公务员医疗补助缴费、其他社会保障缴费、住房公积金、其他工资福利支出、离休费、退休费和抚恤金。</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公用经费179.31万元，包括：办公费、印刷费、水费、电费、邮电费、取暖费、差旅费、公务接待费、工会经费、福利费、公务用车运行维护费和其他商品和服务支出。</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七、政府性基金预算财政拨款收入支出决算情况说明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本单位本年度无政府性基金预算财政拨款收入、支出及结转和结余，政府性基金预算财政拨款收入支出决算表为空表。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八、国有资本经营预算财政拨款收入支出决算情况说明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本单位本年度无国有资本经营预算财政拨款收入、支出及结转和结余，国有资本经营预算财政拨款收入支出决算表为空表。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九、财政拨款“三公”经费支出决算情况说明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2024年度财政拨款“三公”经费支出141.95万元，比上年增加92.14万元，增长184.98%，主要原因是：</w:t>
      </w:r>
      <w:r>
        <w:rPr>
          <w:rFonts w:hint="eastAsia" w:ascii="仿宋_GB2312" w:hAnsi="仿宋_GB2312" w:eastAsia="仿宋_GB2312" w:cs="仿宋_GB2312"/>
          <w:color w:val="000000"/>
          <w:sz w:val="32"/>
          <w:szCs w:val="32"/>
          <w:lang w:eastAsia="zh-CN"/>
        </w:rPr>
        <w:t>增加公务用车购置费</w:t>
      </w:r>
      <w:r>
        <w:rPr>
          <w:rFonts w:hint="eastAsia" w:ascii="仿宋_GB2312" w:hAnsi="仿宋_GB2312" w:eastAsia="仿宋_GB2312" w:cs="仿宋_GB2312"/>
          <w:sz w:val="32"/>
          <w:szCs w:val="32"/>
          <w:lang w:eastAsia="zh-CN"/>
        </w:rPr>
        <w:t>。其中：因公出国（境）费支出0.00万元,占0.00%，与上年相比无变化，主要原因是：严格执行因公出国（境）管理办法；公务用车购置及运行维护费支出140.05万元，占98.66%，比上年增加92.14万元，增长192.32%，主要原因是：</w:t>
      </w:r>
      <w:r>
        <w:rPr>
          <w:rFonts w:hint="eastAsia" w:ascii="仿宋_GB2312" w:hAnsi="仿宋_GB2312" w:eastAsia="仿宋_GB2312" w:cs="仿宋_GB2312"/>
          <w:color w:val="000000"/>
          <w:sz w:val="32"/>
          <w:szCs w:val="32"/>
          <w:lang w:eastAsia="zh-CN"/>
        </w:rPr>
        <w:t>2024年，公务用车购置数2辆，公务用车保有量35辆</w:t>
      </w:r>
      <w:r>
        <w:rPr>
          <w:rFonts w:hint="eastAsia" w:ascii="仿宋_GB2312" w:hAnsi="仿宋_GB2312" w:eastAsia="仿宋_GB2312" w:cs="仿宋_GB2312"/>
          <w:sz w:val="32"/>
          <w:szCs w:val="32"/>
          <w:lang w:eastAsia="zh-CN"/>
        </w:rPr>
        <w:t>；公务接待费支出1.90万元，占1.34%，与上年相比无变化，主要原因是：严格执行公务接待相关制度。</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具体情况如下：</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因公出国（境）费支出0.00万元，开支内容包括。单位全年安排的因公出国（境）团组0个，因公出国（境）0人次。</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务用车购置及运行维护费140.05万元，其中：公务用车购置费48.56万元，公务用车运行维护费91.49万元。公务用车运行维护费开支内容包括。公务用车购置数2辆，公务用车保有量35辆。国有资产占用情况中固定资产车辆35辆，与公务用车保有量差异原因是：</w:t>
      </w:r>
      <w:r>
        <w:rPr>
          <w:rFonts w:hint="eastAsia" w:ascii="仿宋_GB2312" w:hAnsi="仿宋_GB2312" w:eastAsia="仿宋_GB2312" w:cs="仿宋_GB2312"/>
          <w:color w:val="000000"/>
          <w:sz w:val="32"/>
          <w:szCs w:val="32"/>
          <w:lang w:eastAsia="zh-CN"/>
        </w:rPr>
        <w:t>2024年，公务用车购置数2辆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公务接待费1.90万元，开支内容包括。单位全年安排的国内公务接待28批次，145人次。</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与全年预算相比，财政拨款“三公”经费支出全年预算数143.40万元，决算数141.95万元，预决算差异率-1.01%，主要原因是：2024年，购置车辆享受政府采购价格。其中：因公出国（境）费全年预算数0.00万元，决算数0.00万元，预决算差异率0.00%，主要原因是：严格执行因公出国（境）管理办法；公务用车购置费全年预算数50.00万元，决算数48.56万元，预决算差异率-2.88%，主要原因是：汽车销售方给与折扣；公务用车运行维护费全年预算数91.50万元，决算数91.49万元，预决算差异率-0.01%，主要原因是：按预算支出；公务接待费全年预算数1.90万元，决算数1.90万元，预决算差异率0.00%，主要原因是：严格执行公务接待相关制度。</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十、其他重要事项的情况说明</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（一）机关运行经费及公用经费支出情况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2024年度新疆维吾尔自治区人民政府驻北京办事处单位机关运行经费支出179.31万元，比上年减少37.66万元，下降17.36%，主要原因是：人员减少，公用经费支出减少</w:t>
      </w:r>
      <w:bookmarkStart w:id="0" w:name="_GoBack"/>
      <w:bookmarkEnd w:id="0"/>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（二）政府采购情况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2024年度政府采购支出总额940.10万元，其中：政府采购货物支出11.96万元、政府采购工程支出182.97万元、政府采购服务支出745.16万元。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授予中小企业合同金额564.06万元，占政府采购支出总额的60.00%，其中：授予小微企业合同金额112.81万元，占政府采购支出总额的12.00%。</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（三）国有资产占用情况说明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单位国有资产占用情况不予公开</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黑体"/>
          <w:sz w:val="32"/>
          <w:szCs w:val="32"/>
          <w:lang w:eastAsia="zh-CN"/>
        </w:rPr>
      </w:pPr>
      <w:r>
        <w:rPr>
          <w:rFonts w:hint="eastAsia" w:ascii="黑体" w:hAnsi="黑体" w:eastAsia="黑体" w:cs="黑体"/>
          <w:sz w:val="32"/>
          <w:szCs w:val="32"/>
          <w:lang w:eastAsia="zh-CN"/>
        </w:rPr>
        <w:t>十一、预算绩效的情况说明</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根据预算绩效管理要求，本单位2024年度预算绩效管理形成整体支出绩效自评表1个，全年预算总额3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994.84万元，实际执行总额3,691.22万元；预算绩效评价项目1个，全年预算数2702万元，全年执行数2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331.95万元。预算绩效管理取得的成效：</w:t>
      </w:r>
      <w:r>
        <w:rPr>
          <w:rStyle w:val="15"/>
          <w:rFonts w:hint="eastAsia" w:ascii="仿宋_GB2312" w:hAnsi="仿宋_GB2312" w:eastAsia="仿宋_GB2312" w:cs="仿宋_GB2312"/>
          <w:b w:val="0"/>
          <w:bCs w:val="0"/>
          <w:spacing w:val="-4"/>
          <w:sz w:val="32"/>
          <w:szCs w:val="32"/>
          <w:lang w:eastAsia="zh-CN"/>
        </w:rPr>
        <w:t>一是完成自治区及有关部门在京政务活动服务和保障工作；二是充分发挥新疆驻北京办事处立足首都、服务两地，发挥窗口、桥梁、纽带的重要作用。发现的问题及原因：开展全面实施预算绩效管理工作以来，新疆驻北京办事处解决了“有没有”和“会不会”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入数量指标进行考核；三是全面实施预算绩效管理的制度建设有待加强。虽然按照要求开展了全面实施预算绩效管理的工作，但绩效管理制度有待进一步完善，绩效评价的机制不够健全</w:t>
      </w:r>
      <w:r>
        <w:rPr>
          <w:rFonts w:hint="eastAsia" w:ascii="仿宋_GB2312" w:hAnsi="仿宋_GB2312" w:eastAsia="仿宋_GB2312" w:cs="仿宋_GB2312"/>
          <w:sz w:val="32"/>
          <w:szCs w:val="32"/>
          <w:lang w:eastAsia="zh-CN"/>
        </w:rPr>
        <w:t>。下一步改进措施：</w:t>
      </w:r>
      <w:r>
        <w:rPr>
          <w:rStyle w:val="15"/>
          <w:rFonts w:hint="eastAsia" w:ascii="仿宋_GB2312" w:hAnsi="仿宋_GB2312" w:eastAsia="仿宋_GB2312" w:cs="仿宋_GB2312"/>
          <w:b w:val="0"/>
          <w:bCs w:val="0"/>
          <w:spacing w:val="-4"/>
          <w:sz w:val="32"/>
          <w:szCs w:val="32"/>
          <w:lang w:eastAsia="zh-CN"/>
        </w:rPr>
        <w:t>新疆驻北京办事处将坚持以习近平新时代中国特色社会主义思想为指导，深入学习贯彻党的二十大精神，贯彻落实第三次中央新疆工作座谈会精神，贯彻落实全面实施预算绩效管理工作要求，认真梳理总结推进预算绩效管理工作经验，进一步增强预算绩效管理主体责任意识，细化分解各项任务目标，确保组织保障到位，任务安排到底，责任落实到人，逐步提高预算绩效管理水平。</w:t>
      </w:r>
      <w:r>
        <w:rPr>
          <w:rFonts w:hint="eastAsia" w:ascii="仿宋_GB2312" w:hAnsi="仿宋_GB2312" w:eastAsia="仿宋_GB2312" w:cs="仿宋_GB2312"/>
          <w:sz w:val="32"/>
          <w:szCs w:val="32"/>
          <w:lang w:eastAsia="zh-CN"/>
        </w:rPr>
        <w:t>具体附部门整体支出绩效自评表，项目支出绩效自评表和部门评价报告。</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十二、其他需说明的事项</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本单位无其他需说明事项。</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第三部分专业名词解释</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一、财政拨款收入：</w:t>
      </w:r>
      <w:r>
        <w:rPr>
          <w:rFonts w:hint="eastAsia" w:ascii="仿宋_GB2312" w:hAnsi="仿宋_GB2312" w:eastAsia="仿宋_GB2312" w:cs="仿宋_GB2312"/>
          <w:sz w:val="32"/>
          <w:szCs w:val="32"/>
          <w:lang w:eastAsia="zh-CN"/>
        </w:rPr>
        <w:t>指同级财政当年拨付的资金。</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二、上级补助收入：</w:t>
      </w:r>
      <w:r>
        <w:rPr>
          <w:rFonts w:hint="eastAsia" w:ascii="仿宋_GB2312" w:hAnsi="仿宋_GB2312" w:eastAsia="仿宋_GB2312" w:cs="仿宋_GB2312"/>
          <w:sz w:val="32"/>
          <w:szCs w:val="32"/>
          <w:lang w:eastAsia="zh-CN"/>
        </w:rPr>
        <w:t>指事业单位从主管部门和上级单位取得的非财政补助收入。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三、事业收入：</w:t>
      </w:r>
      <w:r>
        <w:rPr>
          <w:rFonts w:hint="eastAsia" w:ascii="仿宋_GB2312" w:hAnsi="仿宋_GB2312" w:eastAsia="仿宋_GB2312" w:cs="仿宋_GB2312"/>
          <w:sz w:val="32"/>
          <w:szCs w:val="32"/>
          <w:lang w:eastAsia="zh-CN"/>
        </w:rPr>
        <w:t>指事业单位开展专业业务活动及其辅助活动所取得的收入。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四、经营收入：</w:t>
      </w:r>
      <w:r>
        <w:rPr>
          <w:rFonts w:hint="eastAsia" w:ascii="仿宋_GB2312" w:hAnsi="仿宋_GB2312" w:eastAsia="仿宋_GB2312" w:cs="仿宋_GB2312"/>
          <w:sz w:val="32"/>
          <w:szCs w:val="32"/>
          <w:lang w:eastAsia="zh-CN"/>
        </w:rPr>
        <w:t>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五、附属单位上缴收入：</w:t>
      </w:r>
      <w:r>
        <w:rPr>
          <w:rFonts w:hint="eastAsia" w:ascii="仿宋_GB2312" w:hAnsi="仿宋_GB2312" w:eastAsia="仿宋_GB2312" w:cs="仿宋_GB2312"/>
          <w:sz w:val="32"/>
          <w:szCs w:val="32"/>
          <w:lang w:eastAsia="zh-CN"/>
        </w:rPr>
        <w:t>指事业单位附属的独立核算单位按有关规定上缴的收入。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六、其他收入：</w:t>
      </w:r>
      <w:r>
        <w:rPr>
          <w:rFonts w:hint="eastAsia" w:ascii="仿宋_GB2312" w:hAnsi="仿宋_GB2312" w:eastAsia="仿宋_GB2312" w:cs="仿宋_GB2312"/>
          <w:sz w:val="32"/>
          <w:szCs w:val="32"/>
          <w:lang w:eastAsia="zh-CN"/>
        </w:rPr>
        <w:t>指除上述“财政拨款收入”、“事业收入”、“经营收入”、“附属单位上缴收入”等之外取得的收入。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七、年初结转和结余：</w:t>
      </w:r>
      <w:r>
        <w:rPr>
          <w:rFonts w:hint="eastAsia" w:ascii="仿宋_GB2312" w:hAnsi="仿宋_GB2312" w:eastAsia="仿宋_GB2312" w:cs="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八、年末结转和结余：</w:t>
      </w:r>
      <w:r>
        <w:rPr>
          <w:rFonts w:hint="eastAsia" w:ascii="仿宋_GB2312" w:hAnsi="仿宋_GB2312" w:eastAsia="仿宋_GB2312" w:cs="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九、基本支出：</w:t>
      </w:r>
      <w:r>
        <w:rPr>
          <w:rFonts w:hint="eastAsia" w:ascii="仿宋_GB2312" w:hAnsi="仿宋_GB2312" w:eastAsia="仿宋_GB2312" w:cs="仿宋_GB2312"/>
          <w:sz w:val="32"/>
          <w:szCs w:val="32"/>
          <w:lang w:eastAsia="zh-CN"/>
        </w:rPr>
        <w:t>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十、项目支出：</w:t>
      </w:r>
      <w:r>
        <w:rPr>
          <w:rFonts w:hint="eastAsia" w:ascii="仿宋_GB2312" w:hAnsi="仿宋_GB2312" w:eastAsia="仿宋_GB2312" w:cs="仿宋_GB2312"/>
          <w:sz w:val="32"/>
          <w:szCs w:val="32"/>
          <w:lang w:eastAsia="zh-CN"/>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十一、经营支出：</w:t>
      </w:r>
      <w:r>
        <w:rPr>
          <w:rFonts w:hint="eastAsia" w:ascii="仿宋_GB2312" w:hAnsi="仿宋_GB2312" w:eastAsia="仿宋_GB2312" w:cs="仿宋_GB2312"/>
          <w:sz w:val="32"/>
          <w:szCs w:val="32"/>
          <w:lang w:eastAsia="zh-CN"/>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十二、对附属单位补助支出：</w:t>
      </w:r>
      <w:r>
        <w:rPr>
          <w:rFonts w:hint="eastAsia" w:ascii="仿宋_GB2312" w:hAnsi="仿宋_GB2312" w:eastAsia="仿宋_GB2312" w:cs="仿宋_GB2312"/>
          <w:sz w:val="32"/>
          <w:szCs w:val="32"/>
          <w:lang w:eastAsia="zh-CN"/>
        </w:rPr>
        <w:t>指事业单位发生的用非财政预算资金对附属单位的补助支出。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十三、“三公”经费：</w:t>
      </w:r>
      <w:r>
        <w:rPr>
          <w:rFonts w:hint="eastAsia" w:ascii="仿宋_GB2312" w:hAnsi="仿宋_GB2312" w:eastAsia="仿宋_GB2312" w:cs="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十四、机关运行经费：</w:t>
      </w:r>
      <w:r>
        <w:rPr>
          <w:rFonts w:hint="eastAsia" w:ascii="仿宋_GB2312" w:hAnsi="仿宋_GB2312" w:eastAsia="仿宋_GB2312" w:cs="仿宋_GB2312"/>
          <w:sz w:val="32"/>
          <w:szCs w:val="32"/>
          <w:lang w:eastAsia="zh-CN"/>
        </w:rPr>
        <w:t>行政单位和参照公务员法管理的事业单位财政拨款基本支出中的公用经费支出。</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第四部分部门决算报表（见附表）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二、《收入决算表》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四、《财政拨款收入支出决算总表》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五、《一般公共预算财政拨款支出决算表》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六、《一般公共预算财政拨款基本支出决算表》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八、《国有资本经营预算财政拨款收入支出决算表》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outlineLvl w:val="1"/>
        <w:rPr>
          <w:rFonts w:ascii="仿宋_GB2312" w:eastAsia="仿宋_GB2312"/>
          <w:sz w:val="32"/>
          <w:szCs w:val="32"/>
          <w:lang w:eastAsia="zh-CN"/>
        </w:rPr>
      </w:pPr>
      <w:r>
        <w:rPr>
          <w:rFonts w:hint="eastAsia" w:ascii="仿宋_GB2312" w:hAnsi="仿宋_GB2312" w:eastAsia="仿宋_GB2312" w:cs="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华文行楷">
    <w:panose1 w:val="02010800040101010101"/>
    <w:charset w:val="86"/>
    <w:family w:val="auto"/>
    <w:pitch w:val="default"/>
    <w:sig w:usb0="00000001" w:usb1="080F0000" w:usb2="00000000" w:usb3="00000000" w:csb0="00040000" w:csb1="00000000"/>
  </w:font>
  <w:font w:name="汉仪中等线简">
    <w:panose1 w:val="02010600000101010101"/>
    <w:charset w:val="86"/>
    <w:family w:val="auto"/>
    <w:pitch w:val="default"/>
    <w:sig w:usb0="00000001" w:usb1="080E0800" w:usb2="00000002" w:usb3="00000000" w:csb0="00040000" w:csb1="00000000"/>
  </w:font>
  <w:font w:name="DejaVu Math TeX Gyre">
    <w:panose1 w:val="02000503000000000000"/>
    <w:charset w:val="00"/>
    <w:family w:val="auto"/>
    <w:pitch w:val="default"/>
    <w:sig w:usb0="A10000EF" w:usb1="4201F9EE" w:usb2="02000000" w:usb3="00000000" w:csb0="60000193" w:csb1="0DD40000"/>
  </w:font>
  <w:font w:name="Century Schoolbook L">
    <w:panose1 w:val="00000000000000000000"/>
    <w:charset w:val="00"/>
    <w:family w:val="auto"/>
    <w:pitch w:val="default"/>
    <w:sig w:usb0="00000000" w:usb1="00000000" w:usb2="00000000" w:usb3="00000000" w:csb0="00000000" w:csb1="00000000"/>
  </w:font>
  <w:font w:name="DejaVu Sans Mono">
    <w:panose1 w:val="020B0609030804020204"/>
    <w:charset w:val="00"/>
    <w:family w:val="auto"/>
    <w:pitch w:val="default"/>
    <w:sig w:usb0="E70026FF" w:usb1="D200F9FB" w:usb2="02000028" w:usb3="00000000" w:csb0="600001DF" w:csb1="FFDF0000"/>
  </w:font>
  <w:font w:name="DejaVu Serif">
    <w:panose1 w:val="02060603050605020204"/>
    <w:charset w:val="00"/>
    <w:family w:val="auto"/>
    <w:pitch w:val="default"/>
    <w:sig w:usb0="E50006FF" w:usb1="5200F9FB" w:usb2="0A040020" w:usb3="00000000" w:csb0="6000009F" w:csb1="DFD70000"/>
  </w:font>
  <w:font w:name="Droid Sans Armenian">
    <w:panose1 w:val="020B0606030804020204"/>
    <w:charset w:val="00"/>
    <w:family w:val="auto"/>
    <w:pitch w:val="default"/>
    <w:sig w:usb0="00000401" w:usb1="40000000" w:usb2="0000000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Nimbus Sans L">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Nimbus Mono L">
    <w:panose1 w:val="00000000000000000000"/>
    <w:charset w:val="00"/>
    <w:family w:val="auto"/>
    <w:pitch w:val="default"/>
    <w:sig w:usb0="00000000" w:usb1="00000000" w:usb2="00000000" w:usb3="00000000" w:csb0="00000000" w:csb1="00000000"/>
  </w:font>
  <w:font w:name="Noto Naskh Arabic UI">
    <w:panose1 w:val="020B0502040504020204"/>
    <w:charset w:val="00"/>
    <w:family w:val="auto"/>
    <w:pitch w:val="default"/>
    <w:sig w:usb0="00002000" w:usb1="80000000" w:usb2="00000008" w:usb3="00000000" w:csb0="00000041" w:csb1="00080000"/>
  </w:font>
  <w:font w:name="Noto Sans CJK HK">
    <w:panose1 w:val="020B0600000000000000"/>
    <w:charset w:val="88"/>
    <w:family w:val="auto"/>
    <w:pitch w:val="default"/>
    <w:sig w:usb0="30000083" w:usb1="2BDF3C10" w:usb2="00000016" w:usb3="00000000" w:csb0="603A0107" w:csb1="00000000"/>
  </w:font>
  <w:font w:name="Noto Sans CJK HK Thin">
    <w:panose1 w:val="020B0200000000000000"/>
    <w:charset w:val="88"/>
    <w:family w:val="auto"/>
    <w:pitch w:val="default"/>
    <w:sig w:usb0="30000083" w:usb1="2BDF3C10" w:usb2="00000016" w:usb3="00000000" w:csb0="603A0107" w:csb1="00000000"/>
  </w:font>
  <w:font w:name="Noto Sans CJK JP Thin">
    <w:panose1 w:val="020B0200000000000000"/>
    <w:charset w:val="86"/>
    <w:family w:val="auto"/>
    <w:pitch w:val="default"/>
    <w:sig w:usb0="30000083" w:usb1="2BDF3C10" w:usb2="00000016" w:usb3="00000000" w:csb0="602E0107" w:csb1="00000000"/>
  </w:font>
  <w:font w:name="Noto Sans CJK KR Medium">
    <w:panose1 w:val="020B0600000000000000"/>
    <w:charset w:val="86"/>
    <w:family w:val="auto"/>
    <w:pitch w:val="default"/>
    <w:sig w:usb0="30000083" w:usb1="2BDF3C10" w:usb2="00000016" w:usb3="00000000" w:csb0="602E0107" w:csb1="00000000"/>
  </w:font>
  <w:font w:name="Noto Sans CJK SC Thin">
    <w:panose1 w:val="020B0200000000000000"/>
    <w:charset w:val="86"/>
    <w:family w:val="auto"/>
    <w:pitch w:val="default"/>
    <w:sig w:usb0="30000083" w:usb1="2BDF3C10" w:usb2="00000016" w:usb3="00000000" w:csb0="602E0107" w:csb1="00000000"/>
  </w:font>
  <w:font w:name="Noto Sans CJK TC Medium">
    <w:panose1 w:val="020B0600000000000000"/>
    <w:charset w:val="88"/>
    <w:family w:val="auto"/>
    <w:pitch w:val="default"/>
    <w:sig w:usb0="30000083" w:usb1="2BDF3C10" w:usb2="00000016" w:usb3="00000000" w:csb0="603A0107" w:csb1="00000000"/>
  </w:font>
  <w:font w:name="Noto Sans Malayalam">
    <w:panose1 w:val="020B0502040504020204"/>
    <w:charset w:val="00"/>
    <w:family w:val="auto"/>
    <w:pitch w:val="default"/>
    <w:sig w:usb0="00800000" w:usb1="00000000" w:usb2="00000000" w:usb3="00000000" w:csb0="00000001" w:csb1="00000000"/>
  </w:font>
  <w:font w:name="Noto Sans Myanmar">
    <w:panose1 w:val="020B0502040504020204"/>
    <w:charset w:val="00"/>
    <w:family w:val="auto"/>
    <w:pitch w:val="default"/>
    <w:sig w:usb0="00000000" w:usb1="00000000" w:usb2="00000400" w:usb3="00000000" w:csb0="00000001" w:csb1="00000000"/>
  </w:font>
  <w:font w:name="Noto Sans UI">
    <w:panose1 w:val="020B0502040504020204"/>
    <w:charset w:val="00"/>
    <w:family w:val="auto"/>
    <w:pitch w:val="default"/>
    <w:sig w:usb0="E00002FF" w:usb1="00000000" w:usb2="00000000" w:usb3="00000000" w:csb0="2000019F" w:csb1="DFD70000"/>
  </w:font>
  <w:font w:name="Noto Serif CJK JP ExtraLight">
    <w:panose1 w:val="02020200000000000000"/>
    <w:charset w:val="86"/>
    <w:family w:val="auto"/>
    <w:pitch w:val="default"/>
    <w:sig w:usb0="30000083" w:usb1="2BDF3C10" w:usb2="00000016" w:usb3="00000000" w:csb0="602E0107" w:csb1="00000000"/>
  </w:font>
  <w:font w:name="Noto Serif CJK KR Medium">
    <w:panose1 w:val="02020500000000000000"/>
    <w:charset w:val="86"/>
    <w:family w:val="auto"/>
    <w:pitch w:val="default"/>
    <w:sig w:usb0="30000083" w:usb1="2BDF3C10" w:usb2="00000016" w:usb3="00000000" w:csb0="602E0107" w:csb1="00000000"/>
  </w:font>
  <w:font w:name="Noto Serif CJK SC SemiBold">
    <w:panose1 w:val="02020600000000000000"/>
    <w:charset w:val="86"/>
    <w:family w:val="auto"/>
    <w:pitch w:val="default"/>
    <w:sig w:usb0="30000083" w:usb1="2BDF3C10" w:usb2="00000016" w:usb3="00000000" w:csb0="602E0107" w:csb1="00000000"/>
  </w:font>
  <w:font w:name="Symbol">
    <w:panose1 w:val="05050102010706020507"/>
    <w:charset w:val="00"/>
    <w:family w:val="auto"/>
    <w:pitch w:val="default"/>
    <w:sig w:usb0="00000000" w:usb1="00000000" w:usb2="00000000" w:usb3="00000000" w:csb0="80000000" w:csb1="00000000"/>
  </w:font>
  <w:font w:name="Ubuntu Condensed">
    <w:panose1 w:val="020B0506030602030204"/>
    <w:charset w:val="00"/>
    <w:family w:val="auto"/>
    <w:pitch w:val="default"/>
    <w:sig w:usb0="E00002FF" w:usb1="5000205B" w:usb2="00000000" w:usb3="00000000" w:csb0="2000009F" w:csb1="56010000"/>
  </w:font>
  <w:font w:name="Ubuntu Light">
    <w:panose1 w:val="020B0604030602030204"/>
    <w:charset w:val="00"/>
    <w:family w:val="auto"/>
    <w:pitch w:val="default"/>
    <w:sig w:usb0="E00002FF" w:usb1="5000205B" w:usb2="00000000" w:usb3="00000000" w:csb0="2000009F" w:csb1="56010000"/>
  </w:font>
  <w:font w:name="URW Chancery L">
    <w:panose1 w:val="00000000000000000000"/>
    <w:charset w:val="00"/>
    <w:family w:val="auto"/>
    <w:pitch w:val="default"/>
    <w:sig w:usb0="00000000" w:usb1="00000000" w:usb2="00000000" w:usb3="00000000" w:csb0="00000000" w:csb1="00000000"/>
  </w:font>
  <w:font w:name="URW Gothic L">
    <w:panose1 w:val="00000000000000000000"/>
    <w:charset w:val="00"/>
    <w:family w:val="auto"/>
    <w:pitch w:val="default"/>
    <w:sig w:usb0="00000000" w:usb1="00000000" w:usb2="00000000" w:usb3="00000000" w:csb0="00000000" w:csb1="00000000"/>
  </w:font>
  <w:font w:name="Ubuntu Mono">
    <w:panose1 w:val="020B0509030602030204"/>
    <w:charset w:val="00"/>
    <w:family w:val="auto"/>
    <w:pitch w:val="default"/>
    <w:sig w:usb0="E00002FF" w:usb1="5000205B" w:usb2="00000000" w:usb3="00000000" w:csb0="2000009F" w:csb1="5601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 w:name="Wingdings 3">
    <w:panose1 w:val="05040102010807070707"/>
    <w:charset w:val="00"/>
    <w:family w:val="auto"/>
    <w:pitch w:val="default"/>
    <w:sig w:usb0="00000000" w:usb1="00000000" w:usb2="00000000" w:usb3="00000000" w:csb0="80000000" w:csb1="00000000"/>
  </w:font>
  <w:font w:name="URW Palladio L">
    <w:panose1 w:val="00000000000000000000"/>
    <w:charset w:val="00"/>
    <w:family w:val="auto"/>
    <w:pitch w:val="default"/>
    <w:sig w:usb0="00000000" w:usb1="00000000" w:usb2="00000000" w:usb3="00000000" w:csb0="00000000" w:csb1="00000000"/>
  </w:font>
  <w:font w:name="Noto Serif Tamil">
    <w:panose1 w:val="020B0502040504020204"/>
    <w:charset w:val="00"/>
    <w:family w:val="auto"/>
    <w:pitch w:val="default"/>
    <w:sig w:usb0="00100000" w:usb1="00000000" w:usb2="00000000" w:usb3="00000000" w:csb0="00000001" w:csb1="00000000"/>
  </w:font>
  <w:font w:name="Noto Serif Khmer">
    <w:panose1 w:val="02020502060506020304"/>
    <w:charset w:val="00"/>
    <w:family w:val="auto"/>
    <w:pitch w:val="default"/>
    <w:sig w:usb0="80000003" w:usb1="0000205B" w:usb2="00010000" w:usb3="00000000" w:csb0="00000001" w:csb1="00000000"/>
  </w:font>
  <w:font w:name="Noto Serif CJK TC SemiBold">
    <w:panose1 w:val="02020600000000000000"/>
    <w:charset w:val="88"/>
    <w:family w:val="auto"/>
    <w:pitch w:val="default"/>
    <w:sig w:usb0="30000083" w:usb1="2BDF3C10" w:usb2="00000016" w:usb3="00000000" w:csb0="603A0107" w:csb1="00000000"/>
  </w:font>
  <w:font w:name="Noto Serif CJK TC Medium">
    <w:panose1 w:val="02020500000000000000"/>
    <w:charset w:val="88"/>
    <w:family w:val="auto"/>
    <w:pitch w:val="default"/>
    <w:sig w:usb0="30000083" w:usb1="2BDF3C10" w:usb2="00000016" w:usb3="00000000" w:csb0="603A01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ADE81"/>
    <w:multiLevelType w:val="singleLevel"/>
    <w:tmpl w:val="DFFADE81"/>
    <w:lvl w:ilvl="0" w:tentative="0">
      <w:start w:val="2"/>
      <w:numFmt w:val="chineseCounting"/>
      <w:suff w:val="nothing"/>
      <w:lvlText w:val="%1、"/>
      <w:lvlJc w:val="left"/>
      <w:rPr>
        <w:rFonts w:hint="eastAsia"/>
      </w:rPr>
    </w:lvl>
  </w:abstractNum>
  <w:abstractNum w:abstractNumId="1">
    <w:nsid w:val="60A610B0"/>
    <w:multiLevelType w:val="multilevel"/>
    <w:tmpl w:val="60A610B0"/>
    <w:lvl w:ilvl="0" w:tentative="0">
      <w:start w:val="1"/>
      <w:numFmt w:val="decimal"/>
      <w:suff w:val="nothing"/>
      <w:lvlText w:val="%1."/>
      <w:lvlJc w:val="left"/>
      <w:pPr>
        <w:spacing w:beforeLines="0" w:beforeAutospacing="0" w:line="240" w:lineRule="auto"/>
        <w:ind w:firstLine="640" w:firstLineChars="200"/>
      </w:pPr>
    </w:lvl>
    <w:lvl w:ilvl="1" w:tentative="0">
      <w:start w:val="1"/>
      <w:numFmt w:val="decimal"/>
      <w:suff w:val="nothing"/>
      <w:lvlText w:val="%1.%2."/>
      <w:lvlJc w:val="left"/>
      <w:pPr>
        <w:spacing w:beforeLines="0" w:beforeAutospacing="0" w:line="240" w:lineRule="auto"/>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A515D8"/>
    <w:rsid w:val="00022396"/>
    <w:rsid w:val="00026ADC"/>
    <w:rsid w:val="000637B8"/>
    <w:rsid w:val="000811B1"/>
    <w:rsid w:val="001152D0"/>
    <w:rsid w:val="001833DC"/>
    <w:rsid w:val="001B34B3"/>
    <w:rsid w:val="00207D56"/>
    <w:rsid w:val="002279A0"/>
    <w:rsid w:val="00265790"/>
    <w:rsid w:val="002720EE"/>
    <w:rsid w:val="00274F90"/>
    <w:rsid w:val="00285C32"/>
    <w:rsid w:val="002F720C"/>
    <w:rsid w:val="003025A7"/>
    <w:rsid w:val="00326996"/>
    <w:rsid w:val="00334DBC"/>
    <w:rsid w:val="003410CF"/>
    <w:rsid w:val="00406D20"/>
    <w:rsid w:val="0041195F"/>
    <w:rsid w:val="00416587"/>
    <w:rsid w:val="00436E94"/>
    <w:rsid w:val="00576FFA"/>
    <w:rsid w:val="0058108E"/>
    <w:rsid w:val="005835F5"/>
    <w:rsid w:val="005A7D45"/>
    <w:rsid w:val="005E7D41"/>
    <w:rsid w:val="00650808"/>
    <w:rsid w:val="006B355B"/>
    <w:rsid w:val="006D5A72"/>
    <w:rsid w:val="00734BB5"/>
    <w:rsid w:val="00825ACB"/>
    <w:rsid w:val="0084501B"/>
    <w:rsid w:val="00887D3A"/>
    <w:rsid w:val="008F6C82"/>
    <w:rsid w:val="009209C8"/>
    <w:rsid w:val="0092668E"/>
    <w:rsid w:val="00950B12"/>
    <w:rsid w:val="0095783D"/>
    <w:rsid w:val="009E453B"/>
    <w:rsid w:val="00A515D8"/>
    <w:rsid w:val="00A87382"/>
    <w:rsid w:val="00B11225"/>
    <w:rsid w:val="00B4784F"/>
    <w:rsid w:val="00B749D3"/>
    <w:rsid w:val="00BD7505"/>
    <w:rsid w:val="00C012A2"/>
    <w:rsid w:val="00C019E9"/>
    <w:rsid w:val="00C41253"/>
    <w:rsid w:val="00C81103"/>
    <w:rsid w:val="00C9020B"/>
    <w:rsid w:val="00CC1924"/>
    <w:rsid w:val="00D41A33"/>
    <w:rsid w:val="00D831CF"/>
    <w:rsid w:val="00DC6345"/>
    <w:rsid w:val="00DE5EE0"/>
    <w:rsid w:val="00E17427"/>
    <w:rsid w:val="00E46BE5"/>
    <w:rsid w:val="00EC6E2E"/>
    <w:rsid w:val="00EF364D"/>
    <w:rsid w:val="00F36673"/>
    <w:rsid w:val="00F80F7F"/>
    <w:rsid w:val="00F934B5"/>
    <w:rsid w:val="00FB2EFA"/>
    <w:rsid w:val="2FBB4ED1"/>
    <w:rsid w:val="3BFE817C"/>
    <w:rsid w:val="3F7D2F9F"/>
    <w:rsid w:val="3FFF6C8F"/>
    <w:rsid w:val="54FDEAAE"/>
    <w:rsid w:val="55F7D386"/>
    <w:rsid w:val="595FB3A8"/>
    <w:rsid w:val="5ECE4815"/>
    <w:rsid w:val="5EDF5144"/>
    <w:rsid w:val="677B8DAB"/>
    <w:rsid w:val="6DFD4853"/>
    <w:rsid w:val="6E4E9A68"/>
    <w:rsid w:val="7E3B82FF"/>
    <w:rsid w:val="7FFDCDA7"/>
    <w:rsid w:val="96E9B21A"/>
    <w:rsid w:val="9AF9ACEA"/>
    <w:rsid w:val="9DDFF020"/>
    <w:rsid w:val="B35FEF79"/>
    <w:rsid w:val="BFFBA6FB"/>
    <w:rsid w:val="CF7E0AB1"/>
    <w:rsid w:val="DFC6CF77"/>
    <w:rsid w:val="DFFFA900"/>
    <w:rsid w:val="F5B35A0E"/>
    <w:rsid w:val="F8BC9216"/>
    <w:rsid w:val="FABF1CE8"/>
    <w:rsid w:val="FBF84935"/>
    <w:rsid w:val="FBFD0CAE"/>
    <w:rsid w:val="FD73AD37"/>
    <w:rsid w:val="FDE79919"/>
    <w:rsid w:val="FDF7F481"/>
    <w:rsid w:val="FF57A83A"/>
    <w:rsid w:val="FFD4D213"/>
    <w:rsid w:val="FFDF0B40"/>
    <w:rsid w:val="FFEEE075"/>
    <w:rsid w:val="FFFB4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5"/>
    <w:semiHidden/>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8"/>
    <w:unhideWhenUsed/>
    <w:qFormat/>
    <w:uiPriority w:val="99"/>
    <w:pPr>
      <w:tabs>
        <w:tab w:val="center" w:pos="4680"/>
        <w:tab w:val="right" w:pos="9360"/>
      </w:tabs>
    </w:pPr>
  </w:style>
  <w:style w:type="paragraph" w:styleId="10">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Emphasis"/>
    <w:basedOn w:val="14"/>
    <w:qFormat/>
    <w:uiPriority w:val="20"/>
    <w:rPr>
      <w:i/>
      <w:iCs/>
    </w:rPr>
  </w:style>
  <w:style w:type="character" w:styleId="17">
    <w:name w:val="Hyperlink"/>
    <w:basedOn w:val="14"/>
    <w:unhideWhenUsed/>
    <w:qFormat/>
    <w:uiPriority w:val="99"/>
    <w:rPr>
      <w:color w:val="0000FF" w:themeColor="hyperlink"/>
      <w:u w:val="single"/>
    </w:rPr>
  </w:style>
  <w:style w:type="character" w:customStyle="1" w:styleId="18">
    <w:name w:val="页眉 Char"/>
    <w:basedOn w:val="14"/>
    <w:link w:val="9"/>
    <w:qFormat/>
    <w:uiPriority w:val="99"/>
  </w:style>
  <w:style w:type="character" w:customStyle="1" w:styleId="19">
    <w:name w:val="标题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标题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标题 3 Char"/>
    <w:basedOn w:val="14"/>
    <w:link w:val="4"/>
    <w:qFormat/>
    <w:uiPriority w:val="9"/>
    <w:rPr>
      <w:rFonts w:asciiTheme="majorHAnsi" w:hAnsiTheme="majorHAnsi" w:eastAsiaTheme="majorEastAsia" w:cstheme="majorBidi"/>
      <w:b/>
      <w:bCs/>
      <w:color w:val="4F81BD" w:themeColor="accent1"/>
    </w:rPr>
  </w:style>
  <w:style w:type="character" w:customStyle="1" w:styleId="22">
    <w:name w:val="标题 4 Char"/>
    <w:basedOn w:val="14"/>
    <w:link w:val="5"/>
    <w:qFormat/>
    <w:uiPriority w:val="9"/>
    <w:rPr>
      <w:rFonts w:asciiTheme="majorHAnsi" w:hAnsiTheme="majorHAnsi" w:eastAsiaTheme="majorEastAsia" w:cstheme="majorBidi"/>
      <w:b/>
      <w:bCs/>
      <w:i/>
      <w:iCs/>
      <w:color w:val="4F81BD" w:themeColor="accent1"/>
    </w:rPr>
  </w:style>
  <w:style w:type="character" w:customStyle="1" w:styleId="23">
    <w:name w:val="副标题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标题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页脚 Char"/>
    <w:basedOn w:val="14"/>
    <w:link w:val="8"/>
    <w:semiHidden/>
    <w:qFormat/>
    <w:uiPriority w:val="99"/>
    <w:rPr>
      <w:sz w:val="18"/>
      <w:szCs w:val="18"/>
    </w:rPr>
  </w:style>
  <w:style w:type="paragraph" w:customStyle="1" w:styleId="26">
    <w:name w:val="列出段落1"/>
    <w:basedOn w:val="1"/>
    <w:qFormat/>
    <w:uiPriority w:val="0"/>
    <w:pPr>
      <w:widowControl w:val="0"/>
      <w:spacing w:after="0" w:line="240" w:lineRule="auto"/>
      <w:ind w:firstLine="420" w:firstLineChars="200"/>
      <w:jc w:val="both"/>
    </w:pPr>
    <w:rPr>
      <w:rFonts w:ascii="Times New Roman" w:hAnsi="Times New Roman" w:eastAsia="宋体" w:cs="Times New Roman"/>
      <w:kern w:val="2"/>
      <w:sz w:val="21"/>
      <w:lang w:eastAsia="zh-CN"/>
    </w:rPr>
  </w:style>
  <w:style w:type="paragraph" w:customStyle="1" w:styleId="27">
    <w:name w:val="无间隔1"/>
    <w:qFormat/>
    <w:uiPriority w:val="1"/>
    <w:pPr>
      <w:widowControl w:val="0"/>
      <w:spacing w:after="0"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1051</Words>
  <Characters>5997</Characters>
  <Lines>49</Lines>
  <Paragraphs>14</Paragraphs>
  <TotalTime>206</TotalTime>
  <ScaleCrop>false</ScaleCrop>
  <LinksUpToDate>false</LinksUpToDate>
  <CharactersWithSpaces>7034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2025-08-18T20:26:00Z</dcterms:created>
  <dc:creator>caiw</dc:creator>
  <cp:lastModifiedBy>user</cp:lastModifiedBy>
  <dcterms:modified xsi:type="dcterms:W3CDTF">2025-08-28T11:50:07Z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