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FFE88">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1732A73B">
      <w:pPr>
        <w:spacing w:line="540" w:lineRule="exact"/>
        <w:jc w:val="center"/>
        <w:rPr>
          <w:rFonts w:ascii="方正小标宋_GBK" w:hAnsi="华文中宋" w:eastAsia="方正小标宋_GBK" w:cs="宋体"/>
          <w:b/>
          <w:kern w:val="0"/>
          <w:sz w:val="48"/>
          <w:szCs w:val="48"/>
        </w:rPr>
      </w:pPr>
    </w:p>
    <w:p w14:paraId="717C1763">
      <w:pPr>
        <w:spacing w:line="540" w:lineRule="exact"/>
        <w:jc w:val="center"/>
        <w:rPr>
          <w:rFonts w:ascii="方正小标宋_GBK" w:hAnsi="华文中宋" w:eastAsia="方正小标宋_GBK" w:cs="宋体"/>
          <w:b/>
          <w:kern w:val="0"/>
          <w:sz w:val="48"/>
          <w:szCs w:val="48"/>
        </w:rPr>
      </w:pPr>
    </w:p>
    <w:p w14:paraId="6C505CC5">
      <w:pPr>
        <w:spacing w:line="540" w:lineRule="exact"/>
        <w:jc w:val="center"/>
        <w:rPr>
          <w:rFonts w:ascii="方正小标宋_GBK" w:hAnsi="华文中宋" w:eastAsia="方正小标宋_GBK" w:cs="宋体"/>
          <w:b/>
          <w:kern w:val="0"/>
          <w:sz w:val="48"/>
          <w:szCs w:val="48"/>
        </w:rPr>
      </w:pPr>
    </w:p>
    <w:p w14:paraId="7425D9F4">
      <w:pPr>
        <w:spacing w:line="540" w:lineRule="exact"/>
        <w:jc w:val="center"/>
        <w:rPr>
          <w:rFonts w:ascii="方正小标宋_GBK" w:hAnsi="华文中宋" w:eastAsia="方正小标宋_GBK" w:cs="宋体"/>
          <w:b/>
          <w:kern w:val="0"/>
          <w:sz w:val="48"/>
          <w:szCs w:val="48"/>
        </w:rPr>
      </w:pPr>
    </w:p>
    <w:p w14:paraId="464D5DAB">
      <w:pPr>
        <w:spacing w:line="540" w:lineRule="exact"/>
        <w:jc w:val="center"/>
        <w:rPr>
          <w:rFonts w:ascii="方正小标宋_GBK" w:hAnsi="华文中宋" w:eastAsia="方正小标宋_GBK" w:cs="宋体"/>
          <w:b/>
          <w:kern w:val="0"/>
          <w:sz w:val="48"/>
          <w:szCs w:val="48"/>
        </w:rPr>
      </w:pPr>
    </w:p>
    <w:p w14:paraId="6822B68C">
      <w:pPr>
        <w:spacing w:line="540" w:lineRule="exact"/>
        <w:jc w:val="center"/>
        <w:rPr>
          <w:rFonts w:ascii="方正小标宋_GBK" w:hAnsi="华文中宋" w:eastAsia="方正小标宋_GBK" w:cs="宋体"/>
          <w:b/>
          <w:kern w:val="0"/>
          <w:sz w:val="48"/>
          <w:szCs w:val="48"/>
        </w:rPr>
      </w:pPr>
    </w:p>
    <w:p w14:paraId="656CC33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自治区本级部门单位整体支出绩效</w:t>
      </w:r>
    </w:p>
    <w:p w14:paraId="05F590C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4A6D118E">
      <w:pPr>
        <w:spacing w:line="540" w:lineRule="exact"/>
        <w:jc w:val="center"/>
        <w:rPr>
          <w:rFonts w:ascii="华文中宋" w:hAnsi="华文中宋" w:eastAsia="华文中宋" w:cs="宋体"/>
          <w:b/>
          <w:kern w:val="0"/>
          <w:sz w:val="52"/>
          <w:szCs w:val="52"/>
        </w:rPr>
      </w:pPr>
    </w:p>
    <w:p w14:paraId="62CF934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14:paraId="76BB29D7">
      <w:pPr>
        <w:spacing w:line="540" w:lineRule="exact"/>
        <w:jc w:val="center"/>
        <w:rPr>
          <w:rFonts w:hAnsi="宋体" w:eastAsia="仿宋_GB2312" w:cs="宋体"/>
          <w:kern w:val="0"/>
          <w:sz w:val="30"/>
          <w:szCs w:val="30"/>
        </w:rPr>
      </w:pPr>
    </w:p>
    <w:p w14:paraId="354955CF">
      <w:pPr>
        <w:spacing w:line="540" w:lineRule="exact"/>
        <w:jc w:val="center"/>
        <w:rPr>
          <w:rFonts w:hAnsi="宋体" w:eastAsia="仿宋_GB2312" w:cs="宋体"/>
          <w:kern w:val="0"/>
          <w:sz w:val="30"/>
          <w:szCs w:val="30"/>
        </w:rPr>
      </w:pPr>
    </w:p>
    <w:p w14:paraId="1205429F">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B2E5034">
      <w:pPr>
        <w:spacing w:line="540" w:lineRule="exact"/>
        <w:jc w:val="center"/>
        <w:rPr>
          <w:rFonts w:hAnsi="宋体" w:eastAsia="仿宋_GB2312" w:cs="宋体"/>
          <w:kern w:val="0"/>
          <w:sz w:val="30"/>
          <w:szCs w:val="30"/>
        </w:rPr>
      </w:pPr>
    </w:p>
    <w:p w14:paraId="132A45FF">
      <w:pPr>
        <w:spacing w:line="540" w:lineRule="exact"/>
        <w:jc w:val="center"/>
        <w:rPr>
          <w:rFonts w:hAnsi="宋体" w:eastAsia="仿宋_GB2312" w:cs="宋体"/>
          <w:kern w:val="0"/>
          <w:sz w:val="30"/>
          <w:szCs w:val="30"/>
        </w:rPr>
      </w:pPr>
    </w:p>
    <w:p w14:paraId="3342FB3A">
      <w:pPr>
        <w:spacing w:line="540" w:lineRule="exact"/>
        <w:jc w:val="center"/>
        <w:rPr>
          <w:rFonts w:hAnsi="宋体" w:eastAsia="仿宋_GB2312" w:cs="宋体"/>
          <w:kern w:val="0"/>
          <w:sz w:val="30"/>
          <w:szCs w:val="30"/>
        </w:rPr>
      </w:pPr>
    </w:p>
    <w:p w14:paraId="10169D66">
      <w:pPr>
        <w:spacing w:line="540" w:lineRule="exact"/>
        <w:rPr>
          <w:rFonts w:hAnsi="宋体" w:eastAsia="仿宋_GB2312" w:cs="宋体"/>
          <w:kern w:val="0"/>
          <w:sz w:val="30"/>
          <w:szCs w:val="30"/>
        </w:rPr>
      </w:pPr>
    </w:p>
    <w:p w14:paraId="6E7C8F6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8B0B5CB">
      <w:pPr>
        <w:spacing w:line="700" w:lineRule="exact"/>
        <w:ind w:firstLine="849" w:firstLineChars="236"/>
        <w:jc w:val="left"/>
        <w:rPr>
          <w:rFonts w:hAnsi="宋体" w:eastAsia="仿宋_GB2312" w:cs="宋体"/>
          <w:b/>
          <w:bCs/>
          <w:kern w:val="0"/>
          <w:sz w:val="36"/>
          <w:szCs w:val="36"/>
        </w:rPr>
      </w:pPr>
      <w:r>
        <w:rPr>
          <w:rFonts w:hint="eastAsia" w:hAnsi="宋体" w:eastAsia="仿宋_GB2312" w:cs="宋体"/>
          <w:kern w:val="0"/>
          <w:sz w:val="36"/>
          <w:szCs w:val="36"/>
        </w:rPr>
        <w:t>部门单位名称（公章）：</w:t>
      </w:r>
      <w:r>
        <w:rPr>
          <w:rFonts w:hint="eastAsia" w:hAnsi="宋体" w:eastAsia="仿宋_GB2312" w:cs="宋体"/>
          <w:b/>
          <w:bCs/>
          <w:kern w:val="0"/>
          <w:sz w:val="36"/>
          <w:szCs w:val="36"/>
        </w:rPr>
        <w:t>中共新疆维吾尔自治区委员会党史和文献研究院</w:t>
      </w:r>
    </w:p>
    <w:p w14:paraId="12923EE6">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20</w:t>
      </w:r>
      <w:bookmarkStart w:id="1" w:name="_GoBack"/>
      <w:bookmarkEnd w:id="1"/>
      <w:r>
        <w:rPr>
          <w:rFonts w:hint="eastAsia" w:hAnsi="宋体" w:eastAsia="仿宋_GB2312" w:cs="宋体"/>
          <w:kern w:val="0"/>
          <w:sz w:val="36"/>
          <w:szCs w:val="36"/>
        </w:rPr>
        <w:t xml:space="preserve"> 日</w:t>
      </w:r>
    </w:p>
    <w:p w14:paraId="4FC5551A">
      <w:pPr>
        <w:spacing w:line="700" w:lineRule="exact"/>
        <w:jc w:val="left"/>
        <w:rPr>
          <w:rFonts w:hAnsi="宋体" w:eastAsia="仿宋_GB2312" w:cs="宋体"/>
          <w:kern w:val="0"/>
          <w:sz w:val="36"/>
          <w:szCs w:val="36"/>
        </w:rPr>
      </w:pPr>
    </w:p>
    <w:p w14:paraId="30BC42F7">
      <w:pPr>
        <w:spacing w:line="700" w:lineRule="exact"/>
        <w:jc w:val="left"/>
        <w:rPr>
          <w:rFonts w:hAnsi="宋体" w:eastAsia="仿宋_GB2312" w:cs="宋体"/>
          <w:kern w:val="0"/>
          <w:sz w:val="36"/>
          <w:szCs w:val="36"/>
        </w:rPr>
      </w:pPr>
    </w:p>
    <w:p w14:paraId="0C10F030">
      <w:pPr>
        <w:spacing w:line="700" w:lineRule="exact"/>
        <w:jc w:val="left"/>
        <w:rPr>
          <w:rFonts w:hAnsi="宋体" w:eastAsia="仿宋_GB2312" w:cs="宋体"/>
          <w:kern w:val="0"/>
          <w:sz w:val="36"/>
          <w:szCs w:val="36"/>
        </w:rPr>
      </w:pPr>
    </w:p>
    <w:p w14:paraId="200ADF5E">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sz w:val="32"/>
          <w:szCs w:val="32"/>
        </w:rPr>
        <w:t>基本</w:t>
      </w:r>
      <w:r>
        <w:rPr>
          <w:rFonts w:hint="eastAsia" w:ascii="仿宋_GB2312" w:hAnsi="仿宋_GB2312" w:eastAsia="仿宋_GB2312" w:cs="仿宋_GB2312"/>
          <w:b/>
          <w:bCs w:val="0"/>
          <w:color w:val="333333"/>
          <w:sz w:val="32"/>
          <w:szCs w:val="32"/>
          <w:lang w:bidi="ar"/>
        </w:rPr>
        <w:t>概况</w:t>
      </w:r>
      <w:r>
        <w:rPr>
          <w:rFonts w:hint="eastAsia" w:ascii="仿宋_GB2312" w:hAnsi="仿宋_GB2312" w:eastAsia="仿宋_GB2312" w:cs="仿宋_GB2312"/>
          <w:b/>
          <w:bCs w:val="0"/>
          <w:color w:val="333333"/>
          <w:sz w:val="32"/>
          <w:szCs w:val="32"/>
          <w:lang w:bidi="ar"/>
        </w:rPr>
        <w:br w:type="textWrapping"/>
      </w:r>
      <w:r>
        <w:rPr>
          <w:rFonts w:hint="eastAsia" w:ascii="仿宋_GB2312" w:hAnsi="仿宋_GB2312" w:eastAsia="仿宋_GB2312" w:cs="仿宋_GB2312"/>
          <w:b/>
          <w:bCs w:val="0"/>
          <w:sz w:val="32"/>
          <w:szCs w:val="32"/>
        </w:rPr>
        <w:t>部门单位基本情况</w:t>
      </w:r>
      <w:r>
        <w:rPr>
          <w:rFonts w:hint="eastAsia" w:ascii="仿宋_GB2312" w:hAnsi="仿宋_GB2312" w:eastAsia="仿宋_GB2312" w:cs="仿宋_GB2312"/>
          <w:b/>
          <w:bCs w:val="0"/>
          <w:sz w:val="32"/>
          <w:szCs w:val="32"/>
          <w:lang w:val="en-US" w:eastAsia="zh-CN"/>
        </w:rPr>
        <w:t>:</w:t>
      </w:r>
    </w:p>
    <w:p w14:paraId="200D1263">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1.主要职能</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中共新疆维吾尔自治区委员会党史和文献研究院是新疆进行党的历史和理论研究专门机构，是自治区党委直属正厅级事业单位。主要职责是：研究习近平新时代中国特色社会主义思想，以及以习近平同志为核心的党中央治疆方略、特别是社会稳定和长治久安总目标在新疆的实践进程；研究中国共产党新疆历史，总结中国共产党领导新疆各族人民进行革命、建设及改革开放的历史经验和优良传统，发挥党史资政育人作用，为新时代党的建设和自治区党委决策服务，为教育广大党员、干部、青少年服务；开展马克思列宁主义、毛泽东思想、邓小平理论、“三个代表”重要思想、科学发展观、习近平新时代中国特色社会主义思想和党的历史、党的领袖人物及老一辈革命家精神风范的宣传普及作用，开展中国共产党新疆历史的宣传普及教育；对外宣介党执政新疆的理念、奋斗历史，讲好中国共产党领导新疆各族人民建设美丽新疆共圆祖国梦想的故事；审核涉及中国共产党新建历史的重要文稿、档案、书稿、照片，参与审核涉新疆重大革命历史题材影视作品、展览、新建纪念场馆的立项和内容等；征集、整理、编辑中央领导关于新疆工作的批示、指示等文献资料；征集、整理、编辑新疆重要党史文献资料；收集、整理重要口述党史资料、重要人物会议录；指导地方党史和文献研究工作；完成自治区党委交办的其他任务。</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2.机构人员构成</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我单位编制数38人,实有人数63人，其中：在职31人,调走1人，退休1人;退休32人，增加1人,去世1人；离休0人。其中：2013601款行政运行31人，2080501款0人。</w:t>
      </w:r>
      <w:bookmarkStart w:id="0" w:name="_Hlk43849111"/>
      <w:bookmarkEnd w:id="0"/>
    </w:p>
    <w:p w14:paraId="657E2937">
      <w:pPr>
        <w:spacing w:line="600" w:lineRule="exact"/>
        <w:ind w:firstLine="1285" w:firstLineChars="4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部门单位年度重点工作</w:t>
      </w:r>
      <w:r>
        <w:rPr>
          <w:rFonts w:hint="eastAsia" w:ascii="仿宋_GB2312" w:hAnsi="仿宋_GB2312" w:eastAsia="仿宋_GB2312" w:cs="仿宋_GB2312"/>
          <w:b/>
          <w:bCs w:val="0"/>
          <w:color w:val="333333"/>
          <w:sz w:val="32"/>
          <w:szCs w:val="32"/>
          <w:lang w:val="en-US" w:eastAsia="zh-CN" w:bidi="ar"/>
        </w:rPr>
        <w:t>:</w:t>
      </w:r>
    </w:p>
    <w:p w14:paraId="364119D0">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1.年度工作计划</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各项党史著作编辑印刷出版、宣传活动费项目，计划投入197万元，要达到全面贯彻自治区党委关于党史工作部署，开展中共新疆历史研究；总结中国共产党在新疆进行革命建设和改革的历史经验，为自治区党委宏观决策和党的建设提供历史借鉴；进一步做好新时期党的文献编辑工作，征集、整理、编纂中共新疆历史资料；贯彻执行中央和自治区党委关于党史工作的方针政策并对各地进行业务指导；负责对自治区各部门、各地州市党史文献编辑工作进行业务指导；推动中共新疆历史、当代新疆史成果的转化；协助自治区党委及有关部门审核已故重要中共新疆历史人物的诞辰纪念活动方案；参与对自治区革命历史遗址遗迹的保护利用；指导组织和开展党史网络信息化工作的目标。</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新疆党史资料征集（长期）项目，计划投入7万元，要达到重点围绕《中国共产党新疆历史》第1、2卷及其他党史文献著作的编写大纲内容，组织人员征集整理资料，（其中包括图片、档案文献、报刊、影像、采访老同志并录音及有关散存于自治区各单位和部门文献资料）的目标。</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新疆党史干部培训经费项目，计划投入9万元，要达到以习近平新时代中国特色社会主义思想为指导，紧紧围绕完整准确全面贯彻新时代党的治疆方略，全面贯彻落实中央、自治区关于党史工作的一系列部署，坚持把以史为鉴、资政育人作为根本目标，为全面加强自治区党的建设和实现总目标服务。按照中央党史和文献研究院和自治区党委安排，利用各种平台持续组织区、地、县三级党史干部培训，切实提升我区党史干部业务水平及综合素质的目标。</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2.机构人员保障情况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中共新疆维吾尔自治区委员会党史和文献研究院部门单位由本级构成，无直属二级单位</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部门内设7个处室，分别为办公室、研究一处、研究二处、研究三处、研究四处、科研规划处、机关党委。</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具体人员保障情况为：截止到2024年12月31日，我部门保障实有在职人员为31人，行政在职31人，事业在职0人，实有离休人员0人，实有退休人员32人，增加1人,去世1人。</w:t>
      </w:r>
    </w:p>
    <w:p w14:paraId="39801D96">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lang w:val="en-US" w:eastAsia="zh-CN"/>
        </w:rPr>
      </w:pPr>
      <w:r>
        <w:rPr>
          <w:rFonts w:hint="eastAsia" w:ascii="仿宋_GB2312" w:hAnsi="仿宋_GB2312" w:eastAsia="仿宋_GB2312" w:cs="仿宋_GB2312"/>
          <w:b/>
          <w:bCs w:val="0"/>
          <w:color w:val="333333"/>
          <w:sz w:val="32"/>
          <w:szCs w:val="32"/>
          <w:lang w:bidi="ar"/>
        </w:rPr>
        <w:t>部门单位整体预算规模及安排情况</w:t>
      </w:r>
      <w:r>
        <w:rPr>
          <w:rFonts w:hint="eastAsia" w:ascii="仿宋_GB2312" w:hAnsi="仿宋_GB2312" w:eastAsia="仿宋_GB2312" w:cs="仿宋_GB2312"/>
          <w:b/>
          <w:bCs w:val="0"/>
          <w:color w:val="333333"/>
          <w:sz w:val="32"/>
          <w:szCs w:val="32"/>
          <w:lang w:val="en-US" w:eastAsia="zh-CN" w:bidi="ar"/>
        </w:rPr>
        <w:t>:</w:t>
      </w:r>
    </w:p>
    <w:p w14:paraId="303978EF">
      <w:pPr>
        <w:spacing w:line="600" w:lineRule="exact"/>
        <w:ind w:left="648" w:firstLine="643" w:firstLineChars="200"/>
        <w:jc w:val="left"/>
        <w:rPr>
          <w:rFonts w:hint="eastAsia" w:ascii="仿宋_GB2312" w:hAnsi="仿宋_GB2312" w:eastAsia="仿宋_GB2312" w:cs="仿宋_GB2312"/>
          <w:b/>
          <w:bCs w:val="0"/>
          <w:i w:val="0"/>
          <w:caps w:val="0"/>
          <w:color w:val="333333"/>
          <w:spacing w:val="0"/>
          <w:sz w:val="32"/>
          <w:szCs w:val="32"/>
          <w:shd w:val="clear" w:fill="FFFFFF"/>
        </w:rPr>
      </w:pPr>
      <w:r>
        <w:rPr>
          <w:rFonts w:hint="eastAsia" w:ascii="仿宋_GB2312" w:hAnsi="仿宋_GB2312" w:eastAsia="仿宋_GB2312" w:cs="仿宋_GB2312"/>
          <w:b/>
          <w:bCs w:val="0"/>
          <w:sz w:val="32"/>
          <w:szCs w:val="32"/>
        </w:rPr>
        <w:t>1.年初预算安排</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包括部门收入、支出年初预算安排情况，与上年对比情况及增减变动原因。</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一般公共预算财政拨款数1184.67万元，比上年减少64.14万元，降幅5.14%，年初财政拨款结转和结余数为17.29万元，非财政拨款数0.17万元，共计1202.13万元，主要原因是上年度追加两个项目经费，本年度没有追加项目。其中，一般公共服务支出890.37万元，社会保障和就业支出174.60万元，卫生健康支出77.56万元，住房保障支出59.60万元。按照支出性质分类，人员经费支出897.94万元，日常公用经费支出113.34万元，项目支出190.86万元。</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2.预算年中调整情况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一般公共预算财政拨款数1184.67万元，比上年减少64.14万元，降幅5.14%，年初财政拨款结转和结余数为17.29万元，非财政拨款数0.17万元，共计1202.13万元，主要原因是上年度追加两个项目经费，本年度没有追加项目。其中，一般公共服务支出890.37万元，社会保障和就业支出174.60万元，卫生健康支出77.56万元，住房保障支出59.60万元。按照支出性质分类，人员经费支出897.94万元，日常公用经费支出113.34万元，项目支出190.86万元。</w:t>
      </w:r>
    </w:p>
    <w:p w14:paraId="18076976">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部门单位整体支出管理及使用情况</w:t>
      </w:r>
    </w:p>
    <w:p w14:paraId="70DC69CB">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（一）预算管理情况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1.管理制度健全性</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本部门为加强预算管理，规范财务行为，已制定《自治区党委党史和文献研究院预算绩效管理工作实施办法》，健全完整的各项管理制度，有效保障了我部门高效的履行工作职能，较好的促进事业发展。</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2.资金使用合规性和安全性</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部门预算资金使用符合国家法规和财务管理制度；预算资金拨付有完整的审批程序和手续，符合项目预算批复或合同规定的用途；不存在截留、挤占、挪用、虚列支出等情况，确保我部门预算资金规范运行。</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3.预决算信息公开性</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我部门严格按照财政部门预算编制与预算调整的工作要求，在预算编制、分配依据充分的条件下，切实做好“先定目标再编预算”，确保预算分配结果合理。同时按照预决算信息公开工作要求，部门预算及绩效目标在人民政府网站和财政厅网站双公开，广泛接受社会监督。</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（二）基本支出投入、管理和使用情况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1.基本支出投入和使用情况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一般公共预算财政拨款数1184.67万元，比上年减少64.14万元，降幅5.14%，年初财政拨款结转和结余数为17.29万元，非财政拨款数0.17万元，共计1202.13万元，主要原因是上年度追加两个项目经费，本年度没有追加项目。其中，一般公共服务支出890.37万元，社会保障和就业支出174.60万元，卫生健康支出77.56万元，住房保障支出59.60万元。按照支出性质分类，人员经费支出897.94万元，日常公用经费支出113.34万元，项目支出190.86万元。</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2.基本支出管理情况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基本支出严格按照财务管理制度执行。人员工资由相关部门逐个审核，按月申报及发放。基本公用经费主要用于支付单位日常的办公费、邮电费、差旅费、维修（护）费、劳务费、车辆运行维护费等。公务用车运行维护费主要用于单位车辆加油、维修及购买车辆保险。</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（三）项目专项支出投入、管理和使用情况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通过项目承担情况指标，分析部门年度项目经费承担情况及其合理性可行性。</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2024年我院共3个项目收入190.86万元，项目支出190.86万元，其中：“各项党史著作编辑印刷出版、宣传活动费”支出174.89万元；“新疆党史干部培训经费”支出8.97万元；“新疆党史资料征集”支出7万元。</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2.项目专项支出管理情况</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专项资金的使用符合国家法规和财务管理制度，专项资金拨付有完整的审批程序和手续，符合项目预算批复或合同规定的用途，不存在截留、挤占、挪用、虚列支出等情况。</w:t>
      </w:r>
    </w:p>
    <w:p w14:paraId="02D4EF9F">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部门单位专项组织实施情况</w:t>
      </w:r>
    </w:p>
    <w:p w14:paraId="4344AA64">
      <w:pPr>
        <w:spacing w:line="600" w:lineRule="exact"/>
        <w:ind w:firstLine="803" w:firstLineChars="2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我部门整体绩效目标共设置一级指标1个，二级指标1个，三级指标3个，详细说明如下：</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一级指标：履职效能</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二级指标：数量指标</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三级指标1：《新疆党史》编印期数，指标值：=6期 ，年中监控完成值：3期；自评完成值：6期，指标完成率100%，指标成效分析：按照计划完成6期《新疆党史》编印期数。偏差率0%，偏差原因及改进措施：无。</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三级指标2：开展党史业务骨干专题培训活动，指标值：=1期 ，年中监控完成值：1期；自评完成值：1期，指标完成率100%，指标成效分析：按照计划完成1期党史业务骨干专题培训活动。偏差率0%，偏差原因及改进措施：无。</w:t>
      </w:r>
      <w:r>
        <w:rPr>
          <w:rFonts w:hint="eastAsia" w:ascii="仿宋_GB2312" w:hAnsi="仿宋_GB2312" w:eastAsia="仿宋_GB2312" w:cs="仿宋_GB2312"/>
          <w:b/>
          <w:bCs w:val="0"/>
          <w:sz w:val="32"/>
          <w:szCs w:val="32"/>
        </w:rPr>
        <w:br w:type="textWrapping"/>
      </w:r>
      <w:r>
        <w:rPr>
          <w:rFonts w:hint="eastAsia" w:ascii="仿宋_GB2312" w:hAnsi="仿宋_GB2312" w:eastAsia="仿宋_GB2312" w:cs="仿宋_GB2312"/>
          <w:b/>
          <w:bCs w:val="0"/>
          <w:sz w:val="32"/>
          <w:szCs w:val="32"/>
        </w:rPr>
        <w:t>三级指标3：征订或整理文献资料数，指标值：&gt;=30套 ，年中监控完成值：32套；自评完成值：32套，指标完成率100%，指标成效分析：按照计划完成征订或整理32套文献资料数。偏差率0%，偏差原因及改进措施：无。</w:t>
      </w:r>
    </w:p>
    <w:p w14:paraId="408A98EF">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eastAsia="zh-CN" w:bidi="ar"/>
        </w:rPr>
        <w:t>评价结论</w:t>
      </w:r>
    </w:p>
    <w:p w14:paraId="49A0E115">
      <w:pPr>
        <w:spacing w:line="600" w:lineRule="exact"/>
        <w:ind w:left="648" w:firstLine="643" w:firstLineChars="20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2024年度部门整体支出绩效自评综合得分99.69分，评价结果为“优”。</w:t>
      </w:r>
    </w:p>
    <w:p w14:paraId="01562AD7">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i w:val="0"/>
          <w:caps w:val="0"/>
          <w:color w:val="333333"/>
          <w:spacing w:val="0"/>
          <w:sz w:val="32"/>
          <w:szCs w:val="32"/>
          <w:shd w:val="clear" w:fill="FFFFFF"/>
        </w:rPr>
        <w:t>存在的主要问题及原因分析：</w:t>
      </w:r>
    </w:p>
    <w:p w14:paraId="2EF5DA3E">
      <w:pPr>
        <w:spacing w:line="600" w:lineRule="exact"/>
        <w:ind w:firstLine="1124" w:firstLineChars="350"/>
        <w:jc w:val="left"/>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color w:val="333333"/>
          <w:sz w:val="32"/>
          <w:szCs w:val="32"/>
          <w:lang w:bidi="ar"/>
        </w:rPr>
        <w:t xml:space="preserve"> </w:t>
      </w:r>
      <w:r>
        <w:rPr>
          <w:rFonts w:hint="eastAsia" w:ascii="仿宋_GB2312" w:hAnsi="仿宋_GB2312" w:eastAsia="仿宋_GB2312" w:cs="仿宋_GB2312"/>
          <w:b/>
          <w:bCs w:val="0"/>
          <w:sz w:val="32"/>
          <w:szCs w:val="32"/>
        </w:rPr>
        <w:t>预算编制工作有待细化。预算编制不够明确和细化，预算编制的合理性需要提高，预算执行力度还要进一步加强。</w:t>
      </w:r>
    </w:p>
    <w:p w14:paraId="0CF83F7D">
      <w:pPr>
        <w:numPr>
          <w:ilvl w:val="0"/>
          <w:numId w:val="1"/>
        </w:numPr>
        <w:snapToGrid w:val="0"/>
        <w:spacing w:line="540" w:lineRule="exact"/>
        <w:rPr>
          <w:rFonts w:hint="eastAsia" w:ascii="仿宋_GB2312" w:hAnsi="仿宋_GB2312" w:eastAsia="仿宋_GB2312" w:cs="仿宋_GB2312"/>
          <w:b/>
          <w:bCs w:val="0"/>
          <w:color w:val="333333"/>
          <w:sz w:val="32"/>
          <w:szCs w:val="32"/>
          <w:lang w:bidi="ar"/>
        </w:rPr>
      </w:pPr>
      <w:r>
        <w:rPr>
          <w:rFonts w:hint="eastAsia" w:ascii="仿宋_GB2312" w:hAnsi="仿宋_GB2312" w:eastAsia="仿宋_GB2312" w:cs="仿宋_GB2312"/>
          <w:b/>
          <w:bCs w:val="0"/>
          <w:color w:val="333333"/>
          <w:sz w:val="32"/>
          <w:szCs w:val="32"/>
          <w:lang w:bidi="ar"/>
        </w:rPr>
        <w:t>改进措施和建议</w:t>
      </w:r>
    </w:p>
    <w:p w14:paraId="66188E1D">
      <w:pPr>
        <w:spacing w:line="600" w:lineRule="exact"/>
        <w:ind w:left="648" w:firstLine="643" w:firstLineChars="200"/>
        <w:jc w:val="left"/>
      </w:pPr>
      <w:r>
        <w:rPr>
          <w:rFonts w:hint="eastAsia" w:ascii="仿宋_GB2312" w:hAnsi="仿宋_GB2312" w:eastAsia="仿宋_GB2312" w:cs="仿宋_GB2312"/>
          <w:b/>
          <w:bCs w:val="0"/>
          <w:sz w:val="32"/>
          <w:szCs w:val="32"/>
        </w:rPr>
        <w:t>细化预算编制工作，认真做好预算的编制。进一步加强单位内部机构各处室的预算管理意识，严格按照预算编制的相关制度和要求进行预算编制，尽量压缩变动性的、有控制空间的费用项目，进一步提高预算编制的科学性、严谨性和可控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314578A"/>
    <w:rsid w:val="0637553C"/>
    <w:rsid w:val="0BBD2C1D"/>
    <w:rsid w:val="12350D4C"/>
    <w:rsid w:val="376016E5"/>
    <w:rsid w:val="78C952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3413</Words>
  <Characters>3692</Characters>
  <Lines>2</Lines>
  <Paragraphs>1</Paragraphs>
  <TotalTime>0</TotalTime>
  <ScaleCrop>false</ScaleCrop>
  <LinksUpToDate>false</LinksUpToDate>
  <CharactersWithSpaces>3719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WPS_1649389516</cp:lastModifiedBy>
  <dcterms:modified xsi:type="dcterms:W3CDTF">2025-08-27T07:20:14Z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eyJoZGlkIjoiODJjYjI4Mzg0NGYyODcwZTRhMTI4Yzc0MDFmZTM4MWEiLCJ1c2VySWQiOiIxMzU2NTgwOTkxIn0=</vt:lpwstr>
  </property>
  <property fmtid="{D5CDD505-2E9C-101B-9397-08002B2CF9AE}" pid="4" name="ICV">
    <vt:lpwstr>898297E23542448EB4A5344E97C1DA5C_12</vt:lpwstr>
  </property>
</Properties>
</file>