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宋体" w:eastAsia="宋体"/>
          <w:sz w:val="32"/>
          <w:szCs w:val="32"/>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jc w:val="center"/>
        <w:outlineLvl w:val="0"/>
        <w:rPr>
          <w:rFonts w:ascii="宋体" w:eastAsia="黑体"/>
          <w:sz w:val="44"/>
          <w:szCs w:val="44"/>
        </w:rPr>
      </w:pPr>
      <w:r>
        <w:rPr>
          <w:rFonts w:ascii="宋体" w:eastAsia="黑体"/>
          <w:sz w:val="44"/>
          <w:szCs w:val="44"/>
        </w:rPr>
        <w:t>新疆维吾尔自治区黄埔军校同学会</w:t>
      </w:r>
    </w:p>
    <w:p>
      <w:pPr>
        <w:spacing w:line="240" w:lineRule="auto"/>
        <w:jc w:val="center"/>
        <w:outlineLvl w:val="0"/>
        <w:rPr>
          <w:rFonts w:ascii="黑体" w:eastAsia="黑体"/>
          <w:sz w:val="44"/>
          <w:szCs w:val="44"/>
        </w:rPr>
      </w:pPr>
      <w:r>
        <w:rPr>
          <w:rFonts w:ascii="黑体" w:eastAsia="黑体"/>
          <w:sz w:val="44"/>
          <w:szCs w:val="44"/>
        </w:rPr>
        <w:t>2024年度部门决算公开说明</w:t>
      </w:r>
    </w:p>
    <w:p>
      <w:r>
        <w:rPr>
          <w:sz w:val="0"/>
          <w:szCs w:val="0"/>
        </w:rPr>
        <w:br w:type="page"/>
      </w:r>
    </w:p>
    <w:p>
      <w:pPr>
        <w:spacing w:line="240" w:lineRule="auto"/>
        <w:jc w:val="center"/>
        <w:rPr>
          <w:rFonts w:ascii="黑体" w:eastAsia="黑体"/>
          <w:sz w:val="32"/>
          <w:szCs w:val="32"/>
        </w:rPr>
      </w:pPr>
      <w:r>
        <w:rPr>
          <w:rFonts w:ascii="黑体" w:eastAsia="黑体"/>
          <w:b/>
          <w:sz w:val="32"/>
          <w:szCs w:val="32"/>
        </w:rPr>
        <w:t>目  录</w:t>
      </w:r>
    </w:p>
    <w:p>
      <w:pPr>
        <w:spacing w:line="240" w:lineRule="auto"/>
        <w:rPr>
          <w:rFonts w:ascii="仿宋_GB2312" w:eastAsia="仿宋_GB2312"/>
          <w:sz w:val="32"/>
          <w:szCs w:val="32"/>
        </w:rPr>
      </w:pPr>
      <w:r>
        <w:rPr>
          <w:rFonts w:ascii="仿宋_GB2312" w:eastAsia="仿宋_GB2312"/>
          <w:b/>
          <w:sz w:val="32"/>
          <w:szCs w:val="32"/>
        </w:rPr>
        <w:t>第一部分单位概况</w:t>
      </w:r>
    </w:p>
    <w:p>
      <w:pPr>
        <w:spacing w:line="240" w:lineRule="auto"/>
        <w:rPr>
          <w:rFonts w:ascii="仿宋_GB2312" w:eastAsia="仿宋_GB2312"/>
          <w:sz w:val="32"/>
          <w:szCs w:val="32"/>
        </w:rPr>
      </w:pPr>
      <w:r>
        <w:rPr>
          <w:rFonts w:ascii="仿宋_GB2312" w:eastAsia="仿宋_GB2312"/>
          <w:sz w:val="32"/>
          <w:szCs w:val="32"/>
        </w:rPr>
        <w:t>一、主要职能</w:t>
      </w:r>
    </w:p>
    <w:p>
      <w:pPr>
        <w:spacing w:line="240" w:lineRule="auto"/>
        <w:rPr>
          <w:rFonts w:ascii="仿宋_GB2312" w:eastAsia="仿宋_GB2312"/>
          <w:sz w:val="32"/>
          <w:szCs w:val="32"/>
        </w:rPr>
      </w:pPr>
      <w:r>
        <w:rPr>
          <w:rFonts w:ascii="仿宋_GB2312" w:eastAsia="仿宋_GB2312"/>
          <w:sz w:val="32"/>
          <w:szCs w:val="32"/>
        </w:rPr>
        <w:t>二、机构设置及人员情况</w:t>
      </w:r>
    </w:p>
    <w:p>
      <w:pPr>
        <w:spacing w:line="240" w:lineRule="auto"/>
        <w:rPr>
          <w:rFonts w:ascii="仿宋_GB2312" w:eastAsia="仿宋_GB2312"/>
          <w:sz w:val="32"/>
          <w:szCs w:val="32"/>
        </w:rPr>
      </w:pPr>
      <w:r>
        <w:rPr>
          <w:rFonts w:ascii="仿宋_GB2312" w:eastAsia="仿宋_GB2312"/>
          <w:b/>
          <w:sz w:val="32"/>
          <w:szCs w:val="32"/>
        </w:rPr>
        <w:t>第二部分 部门决算情况说明</w:t>
      </w:r>
    </w:p>
    <w:p>
      <w:pPr>
        <w:spacing w:line="240" w:lineRule="auto"/>
        <w:rPr>
          <w:rFonts w:ascii="仿宋_GB2312" w:eastAsia="仿宋_GB2312"/>
          <w:sz w:val="32"/>
          <w:szCs w:val="32"/>
        </w:rPr>
      </w:pPr>
      <w:r>
        <w:rPr>
          <w:rFonts w:ascii="仿宋_GB2312" w:eastAsia="仿宋_GB2312"/>
          <w:sz w:val="32"/>
          <w:szCs w:val="32"/>
        </w:rPr>
        <w:t>一、收入支出决算总体情况说明</w:t>
      </w:r>
    </w:p>
    <w:p>
      <w:pPr>
        <w:spacing w:line="240" w:lineRule="auto"/>
        <w:rPr>
          <w:rFonts w:ascii="仿宋_GB2312" w:eastAsia="仿宋_GB2312"/>
          <w:sz w:val="32"/>
          <w:szCs w:val="32"/>
        </w:rPr>
      </w:pPr>
      <w:r>
        <w:rPr>
          <w:rFonts w:ascii="仿宋_GB2312" w:eastAsia="仿宋_GB2312"/>
          <w:sz w:val="32"/>
          <w:szCs w:val="32"/>
        </w:rPr>
        <w:t>二、收入决算情况说明</w:t>
      </w:r>
    </w:p>
    <w:p>
      <w:pPr>
        <w:spacing w:line="240" w:lineRule="auto"/>
        <w:rPr>
          <w:rFonts w:ascii="仿宋_GB2312" w:eastAsia="仿宋_GB2312"/>
          <w:sz w:val="32"/>
          <w:szCs w:val="32"/>
        </w:rPr>
      </w:pPr>
      <w:r>
        <w:rPr>
          <w:rFonts w:ascii="仿宋_GB2312" w:eastAsia="仿宋_GB2312"/>
          <w:sz w:val="32"/>
          <w:szCs w:val="32"/>
        </w:rPr>
        <w:t>三、支出决算情况说明</w:t>
      </w:r>
    </w:p>
    <w:p>
      <w:pPr>
        <w:spacing w:line="240" w:lineRule="auto"/>
        <w:rPr>
          <w:rFonts w:ascii="仿宋_GB2312" w:eastAsia="仿宋_GB2312"/>
          <w:sz w:val="32"/>
          <w:szCs w:val="32"/>
        </w:rPr>
      </w:pPr>
      <w:r>
        <w:rPr>
          <w:rFonts w:ascii="仿宋_GB2312" w:eastAsia="仿宋_GB2312"/>
          <w:sz w:val="32"/>
          <w:szCs w:val="32"/>
        </w:rPr>
        <w:t>四、财政拨款收入支出决算总体情况说明</w:t>
      </w:r>
    </w:p>
    <w:p>
      <w:pPr>
        <w:spacing w:line="240" w:lineRule="auto"/>
        <w:rPr>
          <w:rFonts w:ascii="仿宋_GB2312" w:eastAsia="仿宋_GB2312"/>
          <w:sz w:val="32"/>
          <w:szCs w:val="32"/>
        </w:rPr>
      </w:pPr>
      <w:r>
        <w:rPr>
          <w:rFonts w:ascii="仿宋_GB2312" w:eastAsia="仿宋_GB2312"/>
          <w:sz w:val="32"/>
          <w:szCs w:val="32"/>
        </w:rPr>
        <w:t>五、一般公共预算财政拨款支出决算情况说明</w:t>
      </w:r>
    </w:p>
    <w:p>
      <w:pPr>
        <w:spacing w:line="240" w:lineRule="auto"/>
        <w:rPr>
          <w:rFonts w:ascii="仿宋_GB2312" w:eastAsia="仿宋_GB2312"/>
          <w:sz w:val="32"/>
          <w:szCs w:val="32"/>
        </w:rPr>
      </w:pPr>
      <w:r>
        <w:rPr>
          <w:rFonts w:ascii="仿宋_GB2312" w:eastAsia="仿宋_GB2312"/>
          <w:sz w:val="32"/>
          <w:szCs w:val="32"/>
        </w:rPr>
        <w:t>（一）一般公共预算财政拨款支出决算总体情况</w:t>
      </w:r>
    </w:p>
    <w:p>
      <w:pPr>
        <w:spacing w:line="240" w:lineRule="auto"/>
        <w:rPr>
          <w:rFonts w:ascii="仿宋_GB2312" w:eastAsia="仿宋_GB2312"/>
          <w:sz w:val="32"/>
          <w:szCs w:val="32"/>
        </w:rPr>
      </w:pPr>
      <w:r>
        <w:rPr>
          <w:rFonts w:ascii="仿宋_GB2312" w:eastAsia="仿宋_GB2312"/>
          <w:sz w:val="32"/>
          <w:szCs w:val="32"/>
        </w:rPr>
        <w:t>（二）一般公共预算财政拨款支出决算结构情况</w:t>
      </w:r>
    </w:p>
    <w:p>
      <w:pPr>
        <w:spacing w:line="240" w:lineRule="auto"/>
        <w:rPr>
          <w:rFonts w:ascii="仿宋_GB2312" w:eastAsia="仿宋_GB2312"/>
          <w:sz w:val="32"/>
          <w:szCs w:val="32"/>
        </w:rPr>
      </w:pPr>
      <w:r>
        <w:rPr>
          <w:rFonts w:ascii="仿宋_GB2312" w:eastAsia="仿宋_GB2312"/>
          <w:sz w:val="32"/>
          <w:szCs w:val="32"/>
        </w:rPr>
        <w:t>（三）一般公共预算财政拨款支出决算具体情况</w:t>
      </w:r>
    </w:p>
    <w:p>
      <w:pPr>
        <w:spacing w:line="240" w:lineRule="auto"/>
        <w:rPr>
          <w:rFonts w:ascii="仿宋_GB2312" w:eastAsia="仿宋_GB2312"/>
          <w:sz w:val="32"/>
          <w:szCs w:val="32"/>
        </w:rPr>
      </w:pPr>
      <w:r>
        <w:rPr>
          <w:rFonts w:ascii="仿宋_GB2312" w:eastAsia="仿宋_GB2312"/>
          <w:sz w:val="32"/>
          <w:szCs w:val="32"/>
        </w:rPr>
        <w:t>​六、一般公共预算财政拨款基本支出决算情况说明</w:t>
      </w:r>
    </w:p>
    <w:p>
      <w:pPr>
        <w:spacing w:line="240" w:lineRule="auto"/>
        <w:rPr>
          <w:rFonts w:ascii="仿宋_GB2312" w:eastAsia="仿宋_GB2312"/>
          <w:sz w:val="32"/>
          <w:szCs w:val="32"/>
        </w:rPr>
      </w:pPr>
      <w:r>
        <w:rPr>
          <w:rFonts w:ascii="仿宋_GB2312" w:eastAsia="仿宋_GB2312"/>
          <w:sz w:val="32"/>
          <w:szCs w:val="32"/>
        </w:rPr>
        <w:t>七、政府性基金预算财政拨款收入支出决算情况说明</w:t>
      </w:r>
    </w:p>
    <w:p>
      <w:pPr>
        <w:spacing w:line="240" w:lineRule="auto"/>
        <w:rPr>
          <w:rFonts w:ascii="仿宋_GB2312" w:eastAsia="仿宋_GB2312"/>
          <w:sz w:val="32"/>
          <w:szCs w:val="32"/>
        </w:rPr>
      </w:pPr>
      <w:r>
        <w:rPr>
          <w:rFonts w:ascii="仿宋_GB2312" w:eastAsia="仿宋_GB2312"/>
          <w:sz w:val="32"/>
          <w:szCs w:val="32"/>
        </w:rPr>
        <w:t>八、国有资本经营预算财政拨款收入支出决算情况说明</w:t>
      </w:r>
    </w:p>
    <w:p>
      <w:pPr>
        <w:spacing w:line="240" w:lineRule="auto"/>
        <w:rPr>
          <w:rFonts w:ascii="仿宋_GB2312" w:eastAsia="仿宋_GB2312"/>
          <w:sz w:val="32"/>
          <w:szCs w:val="32"/>
        </w:rPr>
      </w:pPr>
      <w:r>
        <w:rPr>
          <w:rFonts w:ascii="仿宋_GB2312" w:eastAsia="仿宋_GB2312"/>
          <w:sz w:val="32"/>
          <w:szCs w:val="32"/>
        </w:rPr>
        <w:t>九、财政拨款“三公”经费支出决算情况说明</w:t>
      </w:r>
    </w:p>
    <w:p>
      <w:pPr>
        <w:spacing w:line="240" w:lineRule="auto"/>
        <w:rPr>
          <w:rFonts w:ascii="仿宋_GB2312" w:eastAsia="仿宋_GB2312"/>
          <w:sz w:val="32"/>
          <w:szCs w:val="32"/>
        </w:rPr>
      </w:pPr>
      <w:r>
        <w:rPr>
          <w:rFonts w:ascii="仿宋_GB2312" w:eastAsia="仿宋_GB2312"/>
          <w:sz w:val="32"/>
          <w:szCs w:val="32"/>
        </w:rPr>
        <w:t>​十、其他重要事项的情况说明</w:t>
      </w:r>
    </w:p>
    <w:p>
      <w:pPr>
        <w:spacing w:line="240" w:lineRule="auto"/>
        <w:rPr>
          <w:rFonts w:ascii="仿宋_GB2312" w:eastAsia="仿宋_GB2312"/>
          <w:sz w:val="32"/>
          <w:szCs w:val="32"/>
        </w:rPr>
      </w:pPr>
      <w:r>
        <w:rPr>
          <w:rFonts w:ascii="仿宋_GB2312" w:eastAsia="仿宋_GB2312"/>
          <w:sz w:val="32"/>
          <w:szCs w:val="32"/>
        </w:rPr>
        <w:t>（一）机关运行经费及公用经费支出情况</w:t>
      </w:r>
    </w:p>
    <w:p>
      <w:pPr>
        <w:spacing w:line="240" w:lineRule="auto"/>
        <w:rPr>
          <w:rFonts w:ascii="仿宋_GB2312" w:eastAsia="仿宋_GB2312"/>
          <w:sz w:val="32"/>
          <w:szCs w:val="32"/>
        </w:rPr>
      </w:pPr>
      <w:r>
        <w:rPr>
          <w:rFonts w:ascii="仿宋_GB2312" w:eastAsia="仿宋_GB2312"/>
          <w:sz w:val="32"/>
          <w:szCs w:val="32"/>
        </w:rPr>
        <w:t>（二）政府采购情况</w:t>
      </w:r>
    </w:p>
    <w:p>
      <w:pPr>
        <w:spacing w:line="240" w:lineRule="auto"/>
        <w:rPr>
          <w:rFonts w:ascii="仿宋_GB2312" w:eastAsia="仿宋_GB2312"/>
          <w:sz w:val="32"/>
          <w:szCs w:val="32"/>
        </w:rPr>
      </w:pPr>
      <w:r>
        <w:rPr>
          <w:rFonts w:ascii="仿宋_GB2312" w:eastAsia="仿宋_GB2312"/>
          <w:sz w:val="32"/>
          <w:szCs w:val="32"/>
        </w:rPr>
        <w:t>（三）国有资产占用情况说明</w:t>
      </w:r>
    </w:p>
    <w:p>
      <w:pPr>
        <w:spacing w:line="240" w:lineRule="auto"/>
        <w:rPr>
          <w:rFonts w:ascii="仿宋_GB2312" w:eastAsia="仿宋_GB2312"/>
          <w:sz w:val="32"/>
          <w:szCs w:val="32"/>
        </w:rPr>
      </w:pPr>
      <w:r>
        <w:rPr>
          <w:rFonts w:ascii="仿宋_GB2312" w:eastAsia="仿宋_GB2312"/>
          <w:sz w:val="32"/>
          <w:szCs w:val="32"/>
        </w:rPr>
        <w:t>十一、预算绩效的情况说明</w:t>
      </w:r>
    </w:p>
    <w:p>
      <w:pPr>
        <w:spacing w:line="240" w:lineRule="auto"/>
        <w:rPr>
          <w:rFonts w:ascii="仿宋_GB2312" w:eastAsia="仿宋_GB2312"/>
          <w:sz w:val="32"/>
          <w:szCs w:val="32"/>
        </w:rPr>
      </w:pPr>
      <w:r>
        <w:rPr>
          <w:rFonts w:ascii="仿宋_GB2312" w:eastAsia="仿宋_GB2312"/>
          <w:sz w:val="32"/>
          <w:szCs w:val="32"/>
        </w:rPr>
        <w:t>十二、其他需说明的事项</w:t>
      </w:r>
    </w:p>
    <w:p>
      <w:pPr>
        <w:spacing w:line="240" w:lineRule="auto"/>
        <w:rPr>
          <w:rFonts w:ascii="仿宋_GB2312" w:eastAsia="仿宋_GB2312"/>
          <w:sz w:val="32"/>
          <w:szCs w:val="32"/>
        </w:rPr>
      </w:pPr>
      <w:r>
        <w:rPr>
          <w:rFonts w:ascii="仿宋_GB2312" w:eastAsia="仿宋_GB2312"/>
          <w:b/>
          <w:sz w:val="32"/>
          <w:szCs w:val="32"/>
        </w:rPr>
        <w:t>第三部分 专业名词解释</w:t>
      </w:r>
    </w:p>
    <w:p>
      <w:pPr>
        <w:spacing w:line="240" w:lineRule="auto"/>
        <w:rPr>
          <w:rFonts w:ascii="仿宋_GB2312" w:eastAsia="仿宋_GB2312"/>
          <w:sz w:val="32"/>
          <w:szCs w:val="32"/>
        </w:rPr>
      </w:pPr>
      <w:r>
        <w:rPr>
          <w:rFonts w:ascii="仿宋_GB2312" w:eastAsia="仿宋_GB2312"/>
          <w:b/>
          <w:sz w:val="32"/>
          <w:szCs w:val="32"/>
        </w:rPr>
        <w:t>第四部分 部门决算报表（见附表）</w:t>
      </w:r>
    </w:p>
    <w:p>
      <w:pPr>
        <w:spacing w:line="240" w:lineRule="auto"/>
        <w:rPr>
          <w:rFonts w:ascii="仿宋_GB2312" w:eastAsia="仿宋_GB2312"/>
          <w:sz w:val="32"/>
          <w:szCs w:val="32"/>
        </w:rPr>
      </w:pPr>
      <w:r>
        <w:rPr>
          <w:rFonts w:ascii="仿宋_GB2312" w:eastAsia="仿宋_GB2312"/>
          <w:sz w:val="32"/>
          <w:szCs w:val="32"/>
        </w:rPr>
        <w:t>一、《收入支出决算总表》</w:t>
      </w:r>
    </w:p>
    <w:p>
      <w:pPr>
        <w:spacing w:line="240" w:lineRule="auto"/>
        <w:rPr>
          <w:rFonts w:ascii="仿宋_GB2312" w:eastAsia="仿宋_GB2312"/>
          <w:sz w:val="32"/>
          <w:szCs w:val="32"/>
        </w:rPr>
      </w:pPr>
      <w:r>
        <w:rPr>
          <w:rFonts w:ascii="仿宋_GB2312" w:eastAsia="仿宋_GB2312"/>
          <w:sz w:val="32"/>
          <w:szCs w:val="32"/>
        </w:rPr>
        <w:t>二、《收入决算表》</w:t>
      </w:r>
    </w:p>
    <w:p>
      <w:pPr>
        <w:spacing w:line="240" w:lineRule="auto"/>
        <w:rPr>
          <w:rFonts w:ascii="仿宋_GB2312" w:eastAsia="仿宋_GB2312"/>
          <w:sz w:val="32"/>
          <w:szCs w:val="32"/>
        </w:rPr>
      </w:pPr>
      <w:r>
        <w:rPr>
          <w:rFonts w:ascii="仿宋_GB2312" w:eastAsia="仿宋_GB2312"/>
          <w:sz w:val="32"/>
          <w:szCs w:val="32"/>
        </w:rPr>
        <w:t>三、《支出决算表》</w:t>
      </w:r>
    </w:p>
    <w:p>
      <w:pPr>
        <w:spacing w:line="240" w:lineRule="auto"/>
        <w:rPr>
          <w:rFonts w:ascii="仿宋_GB2312" w:eastAsia="仿宋_GB2312"/>
          <w:sz w:val="32"/>
          <w:szCs w:val="32"/>
        </w:rPr>
      </w:pPr>
      <w:r>
        <w:rPr>
          <w:rFonts w:ascii="仿宋_GB2312" w:eastAsia="仿宋_GB2312"/>
          <w:sz w:val="32"/>
          <w:szCs w:val="32"/>
        </w:rPr>
        <w:t>四、《财政拨款收入支出决算总表》</w:t>
      </w:r>
    </w:p>
    <w:p>
      <w:pPr>
        <w:spacing w:line="240" w:lineRule="auto"/>
        <w:rPr>
          <w:rFonts w:ascii="仿宋_GB2312" w:eastAsia="仿宋_GB2312"/>
          <w:sz w:val="32"/>
          <w:szCs w:val="32"/>
        </w:rPr>
      </w:pPr>
      <w:r>
        <w:rPr>
          <w:rFonts w:ascii="仿宋_GB2312" w:eastAsia="仿宋_GB2312"/>
          <w:sz w:val="32"/>
          <w:szCs w:val="32"/>
        </w:rPr>
        <w:t>五、《一般公共预算财政拨款支出决算表》</w:t>
      </w:r>
    </w:p>
    <w:p>
      <w:pPr>
        <w:spacing w:line="240" w:lineRule="auto"/>
        <w:rPr>
          <w:rFonts w:ascii="仿宋_GB2312" w:eastAsia="仿宋_GB2312"/>
          <w:sz w:val="32"/>
          <w:szCs w:val="32"/>
        </w:rPr>
      </w:pPr>
      <w:r>
        <w:rPr>
          <w:rFonts w:ascii="仿宋_GB2312" w:eastAsia="仿宋_GB2312"/>
          <w:sz w:val="32"/>
          <w:szCs w:val="32"/>
        </w:rPr>
        <w:t>六、《一般公共预算财政拨款基本支出决算表》</w:t>
      </w:r>
    </w:p>
    <w:p>
      <w:pPr>
        <w:spacing w:line="240" w:lineRule="auto"/>
        <w:rPr>
          <w:rFonts w:ascii="仿宋_GB2312" w:eastAsia="仿宋_GB2312"/>
          <w:sz w:val="32"/>
          <w:szCs w:val="32"/>
        </w:rPr>
      </w:pPr>
      <w:r>
        <w:rPr>
          <w:rFonts w:ascii="仿宋_GB2312" w:eastAsia="仿宋_GB2312"/>
          <w:sz w:val="32"/>
          <w:szCs w:val="32"/>
        </w:rPr>
        <w:t>七、《政府性基金预算财政拨款收入支出决算表》</w:t>
      </w:r>
    </w:p>
    <w:p>
      <w:pPr>
        <w:spacing w:line="240" w:lineRule="auto"/>
        <w:rPr>
          <w:rFonts w:ascii="仿宋_GB2312" w:eastAsia="仿宋_GB2312"/>
          <w:sz w:val="32"/>
          <w:szCs w:val="32"/>
        </w:rPr>
      </w:pPr>
      <w:r>
        <w:rPr>
          <w:rFonts w:ascii="仿宋_GB2312" w:eastAsia="仿宋_GB2312"/>
          <w:sz w:val="32"/>
          <w:szCs w:val="32"/>
        </w:rPr>
        <w:t>八、《国有资本经营预算财政拨款收入支出决算表》</w:t>
      </w:r>
    </w:p>
    <w:p>
      <w:pPr>
        <w:spacing w:line="240" w:lineRule="auto"/>
        <w:rPr>
          <w:rFonts w:ascii="仿宋_GB2312" w:eastAsia="仿宋_GB2312"/>
          <w:sz w:val="32"/>
          <w:szCs w:val="32"/>
        </w:rPr>
      </w:pPr>
      <w:r>
        <w:rPr>
          <w:rFonts w:ascii="仿宋_GB2312" w:eastAsia="仿宋_GB2312"/>
          <w:sz w:val="32"/>
          <w:szCs w:val="32"/>
        </w:rPr>
        <w:t>九、《财政拨款“三公”经费支出决算表》</w:t>
      </w:r>
    </w:p>
    <w:p>
      <w:r>
        <w:rPr>
          <w:sz w:val="0"/>
          <w:szCs w:val="0"/>
        </w:rPr>
        <w:br w:type="page"/>
      </w:r>
    </w:p>
    <w:p>
      <w:pPr>
        <w:spacing w:line="240" w:lineRule="auto"/>
        <w:jc w:val="center"/>
        <w:outlineLvl w:val="0"/>
        <w:rPr>
          <w:rFonts w:ascii="黑体" w:eastAsia="黑体"/>
          <w:sz w:val="32"/>
          <w:szCs w:val="32"/>
        </w:rPr>
      </w:pPr>
      <w:r>
        <w:rPr>
          <w:rFonts w:ascii="黑体" w:eastAsia="黑体"/>
          <w:sz w:val="32"/>
          <w:szCs w:val="32"/>
        </w:rPr>
        <w:t>第一部分 单位概况</w:t>
      </w:r>
    </w:p>
    <w:p>
      <w:pPr>
        <w:spacing w:line="240" w:lineRule="auto"/>
        <w:ind w:firstLine="640" w:firstLineChars="200"/>
        <w:outlineLvl w:val="1"/>
        <w:rPr>
          <w:rFonts w:ascii="黑体" w:eastAsia="黑体"/>
          <w:sz w:val="32"/>
          <w:szCs w:val="32"/>
        </w:rPr>
      </w:pPr>
      <w:r>
        <w:rPr>
          <w:rFonts w:ascii="黑体" w:eastAsia="黑体"/>
          <w:sz w:val="32"/>
          <w:szCs w:val="32"/>
        </w:rPr>
        <w:t> 一、主要职能</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新疆黄埔军校同学会是团结、联络国内外黄埔同学的社会团体，是党和政府联系国内外黄埔同学的纽带和桥梁，依据“发扬黄埔精神，联络同学感情，促进祖国统一，致力振兴中华”的宗旨，新疆黄埔军校同学会主要工作任务是：（1）团结联络我区各族黄埔同学，调动他们在统一祖国、振兴中华方面的积极性。（2）宣传党中央对台的方针政策，弘扬爱国革命的黄埔精神。（3）联络台湾、港、澳和海外的黄埔同学及亲属，接待海外来访黄埔同学。（4）收集、研究黄埔军校史料和重大事件、重要人物情况，为有关部门和联络工作提供信息。</w:t>
      </w:r>
    </w:p>
    <w:p>
      <w:pPr>
        <w:spacing w:line="240" w:lineRule="auto"/>
        <w:ind w:firstLine="640" w:firstLineChars="200"/>
        <w:outlineLvl w:val="1"/>
        <w:rPr>
          <w:rFonts w:ascii="黑体" w:eastAsia="黑体"/>
          <w:sz w:val="32"/>
          <w:szCs w:val="32"/>
        </w:rPr>
      </w:pPr>
      <w:r>
        <w:rPr>
          <w:rFonts w:ascii="黑体" w:eastAsia="黑体"/>
          <w:sz w:val="32"/>
          <w:szCs w:val="32"/>
        </w:rPr>
        <w:t>二、机构设置及人员情况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新疆维吾尔自治区黄埔军校同学会2024年度，实有人数2人，其中：在职人员2人，较上年无变化；离休人员0人，较上年无变化；退休人员0人，较上年无变化；</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新疆维吾尔自治区黄埔军校同学会无下属预算单位，下设1个，分别是： 办公室。</w:t>
      </w:r>
    </w:p>
    <w:p>
      <w:r>
        <w:rPr>
          <w:sz w:val="0"/>
          <w:szCs w:val="0"/>
        </w:rPr>
        <w:br w:type="page"/>
      </w:r>
    </w:p>
    <w:p>
      <w:pPr>
        <w:spacing w:line="240" w:lineRule="auto"/>
        <w:jc w:val="center"/>
        <w:outlineLvl w:val="0"/>
        <w:rPr>
          <w:rFonts w:ascii="黑体" w:eastAsia="黑体"/>
          <w:sz w:val="32"/>
          <w:szCs w:val="32"/>
        </w:rPr>
      </w:pPr>
      <w:r>
        <w:rPr>
          <w:rFonts w:ascii="黑体" w:eastAsia="黑体"/>
          <w:sz w:val="32"/>
          <w:szCs w:val="32"/>
        </w:rPr>
        <w:t>第二部分 部门决算情况说明</w:t>
      </w:r>
    </w:p>
    <w:p>
      <w:pPr>
        <w:spacing w:line="240" w:lineRule="auto"/>
        <w:ind w:firstLine="640" w:firstLineChars="200"/>
        <w:outlineLvl w:val="1"/>
        <w:rPr>
          <w:rFonts w:ascii="黑体" w:eastAsia="黑体"/>
          <w:sz w:val="32"/>
          <w:szCs w:val="32"/>
        </w:rPr>
      </w:pPr>
      <w:r>
        <w:rPr>
          <w:rFonts w:ascii="黑体" w:eastAsia="黑体"/>
          <w:sz w:val="32"/>
          <w:szCs w:val="32"/>
        </w:rPr>
        <w:t>一、收入支出决算总体情况说明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2024年度收入总计70.62万元，其中：本年收入合计70.59万元，使用非财政拨款结余（含专用结余）0.00万元，年初结转和结余0.03万元。</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2024年度支出总计70.62万元，其中：本年支出合计69.99万元，结余分配0.00万元，年末结转和结余0.63万元。</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收入支出总体与上年相比，</w:t>
      </w:r>
      <w:r>
        <w:rPr>
          <w:rFonts w:hint="eastAsia" w:ascii="仿宋_GB2312" w:eastAsia="仿宋_GB2312"/>
          <w:sz w:val="32"/>
          <w:szCs w:val="32"/>
          <w:lang w:eastAsia="zh-CN"/>
        </w:rPr>
        <w:t>减少</w:t>
      </w:r>
      <w:r>
        <w:rPr>
          <w:rFonts w:hint="eastAsia" w:ascii="仿宋_GB2312" w:eastAsia="仿宋_GB2312"/>
          <w:sz w:val="32"/>
          <w:szCs w:val="32"/>
          <w:lang w:val="en-US" w:eastAsia="zh-CN"/>
        </w:rPr>
        <w:t>1.97万元，下降2.71%，</w:t>
      </w:r>
      <w:r>
        <w:rPr>
          <w:rFonts w:ascii="仿宋_GB2312" w:eastAsia="仿宋_GB2312"/>
          <w:sz w:val="32"/>
          <w:szCs w:val="32"/>
        </w:rPr>
        <w:t>主要原因是：</w:t>
      </w:r>
      <w:r>
        <w:rPr>
          <w:rFonts w:hint="eastAsia" w:ascii="仿宋_GB2312" w:eastAsia="仿宋_GB2312"/>
          <w:sz w:val="32"/>
          <w:szCs w:val="32"/>
          <w:lang w:val="en-US" w:eastAsia="zh-CN"/>
        </w:rPr>
        <w:t>2024年度较2023年度公用经费支出减少1.77万元</w:t>
      </w:r>
      <w:bookmarkStart w:id="0" w:name="_GoBack"/>
      <w:bookmarkEnd w:id="0"/>
      <w:r>
        <w:rPr>
          <w:rFonts w:ascii="仿宋_GB2312" w:eastAsia="仿宋_GB2312"/>
          <w:sz w:val="32"/>
          <w:szCs w:val="32"/>
        </w:rPr>
        <w:t>。</w:t>
      </w:r>
    </w:p>
    <w:p>
      <w:pPr>
        <w:spacing w:line="240" w:lineRule="auto"/>
        <w:ind w:firstLine="640" w:firstLineChars="200"/>
        <w:outlineLvl w:val="1"/>
        <w:rPr>
          <w:rFonts w:ascii="黑体" w:eastAsia="黑体"/>
          <w:sz w:val="32"/>
          <w:szCs w:val="32"/>
        </w:rPr>
      </w:pPr>
      <w:r>
        <w:rPr>
          <w:rFonts w:ascii="黑体" w:eastAsia="黑体"/>
          <w:sz w:val="32"/>
          <w:szCs w:val="32"/>
        </w:rPr>
        <w:t>二、收入决算情况说明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本年收入70.59万元，其中：财政拨款收入70.59万元,占100.00%；上级补助收入0.00万元,占0.00%；事业收入0.00万元，占0.00%；经营收入0.00万元,占0.00%；附属单位上缴收入0.00万元，占0.00%；其他收入0.00万元，占0.00%。</w:t>
      </w:r>
    </w:p>
    <w:p>
      <w:pPr>
        <w:spacing w:line="240" w:lineRule="auto"/>
        <w:ind w:firstLine="640" w:firstLineChars="200"/>
        <w:outlineLvl w:val="1"/>
        <w:rPr>
          <w:rFonts w:ascii="黑体" w:eastAsia="黑体"/>
          <w:sz w:val="32"/>
          <w:szCs w:val="32"/>
        </w:rPr>
      </w:pPr>
      <w:r>
        <w:rPr>
          <w:rFonts w:ascii="黑体" w:eastAsia="黑体"/>
          <w:sz w:val="32"/>
          <w:szCs w:val="32"/>
        </w:rPr>
        <w:t>三、支出决算情况说明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本年支出69.99万元，其中：基本支出49.99万元，占71.42%；项目支出20.00万元，占28.58%；上缴上级支出0.00万元，占0.00%；经营支出0.00万元，占0.00%；对附属单位补助支出0.00万元，占0.00%。</w:t>
      </w:r>
    </w:p>
    <w:p>
      <w:pPr>
        <w:spacing w:line="240" w:lineRule="auto"/>
        <w:ind w:firstLine="640" w:firstLineChars="200"/>
        <w:outlineLvl w:val="1"/>
        <w:rPr>
          <w:rFonts w:ascii="黑体" w:eastAsia="黑体"/>
          <w:sz w:val="32"/>
          <w:szCs w:val="32"/>
        </w:rPr>
      </w:pPr>
      <w:r>
        <w:rPr>
          <w:rFonts w:ascii="黑体" w:eastAsia="黑体"/>
          <w:sz w:val="32"/>
          <w:szCs w:val="32"/>
        </w:rPr>
        <w:t>四、财政拨款收入支出决算总体情况说明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2024年度财政拨款收入总计70.59万元，其中：年初财政拨款结转和结余0.00万元，本年财政拨款收入70.59万元。财政拨款支出总计70.59万元，其中：年末财政拨款结转和结余0.60万元，本年财政拨款支出69.99万元。</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财政拨款收入支出总体与上年相比，减少1.40万元，下降1.94%，主要原因是：人员变动和“三公”经费支出和“会议费”较上年有减少。与年初预算相比，年初预算数67.65万元，决算数70.59万元，预决算差异率4.35%，主要原因是：收入年度执行中调整，调整的原因是人员工资福利待遇提升，较年初预算数有所增长。</w:t>
      </w:r>
    </w:p>
    <w:p>
      <w:pPr>
        <w:spacing w:line="240" w:lineRule="auto"/>
        <w:ind w:firstLine="640" w:firstLineChars="200"/>
        <w:outlineLvl w:val="1"/>
        <w:rPr>
          <w:rFonts w:ascii="黑体" w:eastAsia="黑体"/>
          <w:sz w:val="32"/>
          <w:szCs w:val="32"/>
        </w:rPr>
      </w:pPr>
      <w:r>
        <w:rPr>
          <w:rFonts w:ascii="黑体" w:eastAsia="黑体"/>
          <w:sz w:val="32"/>
          <w:szCs w:val="32"/>
        </w:rPr>
        <w:t>五、一般公共预算财政拨款支出决算情况说明</w:t>
      </w:r>
    </w:p>
    <w:p>
      <w:pPr>
        <w:spacing w:line="240" w:lineRule="auto"/>
        <w:ind w:firstLine="643" w:firstLineChars="200"/>
        <w:outlineLvl w:val="2"/>
        <w:rPr>
          <w:rFonts w:ascii="黑体" w:eastAsia="黑体"/>
          <w:sz w:val="32"/>
          <w:szCs w:val="32"/>
        </w:rPr>
      </w:pPr>
      <w:r>
        <w:rPr>
          <w:rFonts w:ascii="黑体" w:eastAsia="黑体"/>
          <w:b/>
          <w:sz w:val="32"/>
          <w:szCs w:val="32"/>
        </w:rPr>
        <w:t>（一）一般公共预算财政拨款支出决算总体情况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一般公共预算财政拨款支出69.99万元，占本年支出合计的100.00%。与上年相比，减少2.00万元，下降2.78%，主要原因是：人员变动和“三公”经费支出和“会议费”较上年有减少。与年初预算相比，年初预算数67.65万元，决算数69.99万元，预决算差异率3.46%，主要原因是：收入年度执行中调整，调整的原因是人员工资福利待遇提升，较年初预算数有所增长。</w:t>
      </w:r>
    </w:p>
    <w:p>
      <w:pPr>
        <w:spacing w:line="240" w:lineRule="auto"/>
        <w:ind w:firstLine="643" w:firstLineChars="200"/>
        <w:outlineLvl w:val="2"/>
        <w:rPr>
          <w:rFonts w:ascii="黑体" w:eastAsia="黑体"/>
          <w:sz w:val="32"/>
          <w:szCs w:val="32"/>
        </w:rPr>
      </w:pPr>
      <w:r>
        <w:rPr>
          <w:rFonts w:ascii="黑体" w:eastAsia="黑体"/>
          <w:b/>
          <w:sz w:val="32"/>
          <w:szCs w:val="32"/>
        </w:rPr>
        <w:t>（二）一般公共预算财政拨款支出决算结构情况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一般公共服务支出（类）57.81万元，占82.60%。</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社会保障和就业支出（类）4.59万元，占6.56%。</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卫生健康支出（类）4.16万元，占5.94%。</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住房保障支出（类）3.44万元，占4.91%。</w:t>
      </w:r>
    </w:p>
    <w:p>
      <w:pPr>
        <w:spacing w:line="240" w:lineRule="auto"/>
        <w:ind w:firstLine="643" w:firstLineChars="200"/>
        <w:outlineLvl w:val="2"/>
        <w:rPr>
          <w:rFonts w:ascii="黑体" w:eastAsia="黑体"/>
          <w:sz w:val="32"/>
          <w:szCs w:val="32"/>
        </w:rPr>
      </w:pPr>
      <w:r>
        <w:rPr>
          <w:rFonts w:ascii="黑体" w:eastAsia="黑体"/>
          <w:b/>
          <w:sz w:val="32"/>
          <w:szCs w:val="32"/>
        </w:rPr>
        <w:t>（三）一般公共预算财政拨款支出决算具体情况</w:t>
      </w:r>
    </w:p>
    <w:p>
      <w:pPr>
        <w:spacing w:line="240" w:lineRule="auto"/>
        <w:ind w:firstLine="640" w:firstLineChars="200"/>
        <w:rPr>
          <w:rFonts w:ascii="仿宋_GB2312" w:eastAsia="仿宋_GB2312"/>
          <w:sz w:val="32"/>
          <w:szCs w:val="32"/>
        </w:rPr>
      </w:pPr>
      <w:r>
        <w:rPr>
          <w:rFonts w:ascii="仿宋_GB2312" w:eastAsia="仿宋_GB2312"/>
          <w:sz w:val="32"/>
          <w:szCs w:val="32"/>
        </w:rPr>
        <w:t>1、一般公共服务支出（类）群众团体事务（款）行政运行（项）：支出决算数为37.81万元，比上年决算增加1.34万元，增长3.67%，主要原因是：本年人员工资福利待遇提升，因而2024年人员经费较上年有所增加</w:t>
      </w:r>
    </w:p>
    <w:p>
      <w:pPr>
        <w:spacing w:line="240" w:lineRule="auto"/>
        <w:ind w:firstLine="640" w:firstLineChars="200"/>
        <w:rPr>
          <w:rFonts w:ascii="仿宋_GB2312" w:eastAsia="仿宋_GB2312"/>
          <w:sz w:val="32"/>
          <w:szCs w:val="32"/>
        </w:rPr>
      </w:pPr>
      <w:r>
        <w:rPr>
          <w:rFonts w:ascii="仿宋_GB2312" w:eastAsia="仿宋_GB2312"/>
          <w:sz w:val="32"/>
          <w:szCs w:val="32"/>
        </w:rPr>
        <w:t>2、一般公共服务支出（类）群众团体事务（款）其他群众团体事务支出（项）：支出决算数为20.00万元，比上年决算增加0.06万元，增长0.30%，主要原因是：慰问黄埔老人较去年有所增加。</w:t>
      </w:r>
    </w:p>
    <w:p>
      <w:pPr>
        <w:spacing w:line="240" w:lineRule="auto"/>
        <w:ind w:firstLine="640" w:firstLineChars="200"/>
        <w:rPr>
          <w:rFonts w:ascii="仿宋_GB2312" w:eastAsia="仿宋_GB2312"/>
          <w:sz w:val="32"/>
          <w:szCs w:val="32"/>
        </w:rPr>
      </w:pPr>
      <w:r>
        <w:rPr>
          <w:rFonts w:ascii="仿宋_GB2312" w:eastAsia="仿宋_GB2312"/>
          <w:sz w:val="32"/>
          <w:szCs w:val="32"/>
        </w:rPr>
        <w:t>3、社会保障和就业支出（类）行政事业单位养老支出（款）机关事业单位基本养老保险缴费支出（项）：支出决算数为4.59万元，比上年决算减少1.23万元，下降21.13%，主要原因是：本年度人员变动，个人职级有差异，养老基数降低。</w:t>
      </w:r>
    </w:p>
    <w:p>
      <w:pPr>
        <w:spacing w:line="240" w:lineRule="auto"/>
        <w:ind w:firstLine="640" w:firstLineChars="200"/>
        <w:rPr>
          <w:rFonts w:ascii="仿宋_GB2312" w:eastAsia="仿宋_GB2312"/>
          <w:sz w:val="32"/>
          <w:szCs w:val="32"/>
        </w:rPr>
      </w:pPr>
      <w:r>
        <w:rPr>
          <w:rFonts w:ascii="仿宋_GB2312" w:eastAsia="仿宋_GB2312"/>
          <w:sz w:val="32"/>
          <w:szCs w:val="32"/>
        </w:rPr>
        <w:t>4、卫生健康支出（类）行政事业单位医疗（款）行政单位医疗（项）：支出决算数为2.15万元，比上年决算减少0.74万元，下降25.61%，主要原因是：本年度人员变动，个人职级有差异，医疗基数降低。</w:t>
      </w:r>
    </w:p>
    <w:p>
      <w:pPr>
        <w:spacing w:line="240" w:lineRule="auto"/>
        <w:ind w:firstLine="640" w:firstLineChars="200"/>
        <w:rPr>
          <w:rFonts w:ascii="仿宋_GB2312" w:eastAsia="仿宋_GB2312"/>
          <w:sz w:val="32"/>
          <w:szCs w:val="32"/>
        </w:rPr>
      </w:pPr>
      <w:r>
        <w:rPr>
          <w:rFonts w:ascii="仿宋_GB2312" w:eastAsia="仿宋_GB2312"/>
          <w:sz w:val="32"/>
          <w:szCs w:val="32"/>
        </w:rPr>
        <w:t>5、卫生健康支出（类）行政事业单位医疗（款）公务员医疗补助（项）：支出决算数为2.01万元，比上年决算减少0.45万元，下降18.29%，主要原因是：本年度人员变动，个人职级有差异，医疗基数降低。</w:t>
      </w:r>
    </w:p>
    <w:p>
      <w:pPr>
        <w:spacing w:line="240" w:lineRule="auto"/>
        <w:ind w:firstLine="640" w:firstLineChars="200"/>
        <w:rPr>
          <w:rFonts w:ascii="仿宋_GB2312" w:eastAsia="仿宋_GB2312"/>
          <w:sz w:val="32"/>
          <w:szCs w:val="32"/>
        </w:rPr>
      </w:pPr>
      <w:r>
        <w:rPr>
          <w:rFonts w:ascii="仿宋_GB2312" w:eastAsia="仿宋_GB2312"/>
          <w:sz w:val="32"/>
          <w:szCs w:val="32"/>
        </w:rPr>
        <w:t>6、住房保障支出（类）住房改革支出（款）住房公积金（项）：支出决算数为3.44万元，比上年决算减少0.98万元，下降22.17%，主要原因是：本年度人员变动，个人职级有差异，缴费基数降低。</w:t>
      </w:r>
    </w:p>
    <w:p>
      <w:pPr>
        <w:spacing w:line="240" w:lineRule="auto"/>
        <w:ind w:firstLine="640" w:firstLineChars="200"/>
        <w:outlineLvl w:val="1"/>
        <w:rPr>
          <w:rFonts w:ascii="黑体" w:eastAsia="黑体"/>
          <w:sz w:val="32"/>
          <w:szCs w:val="32"/>
        </w:rPr>
      </w:pPr>
      <w:r>
        <w:rPr>
          <w:rFonts w:ascii="黑体" w:eastAsia="黑体"/>
          <w:sz w:val="32"/>
          <w:szCs w:val="32"/>
        </w:rPr>
        <w:t>六、一般公共预算财政拨款基本支出决算情况说明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一般公共预算财政拨款基本支出49.99万元，其中：人员经费48.29万元，包括：基本工资、津贴补贴、奖金、伙食补助费、机关事业单位基本养老保险缴费、职工基本医疗保险缴费、公务员医疗补助缴费、其他社会保障缴费和住房公积金。</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公用经费1.71万元，包括：办公费、手续费、电费、邮电费、取暖费、差旅费、委托业务费、工会经费和福利费。</w:t>
      </w:r>
    </w:p>
    <w:p>
      <w:pPr>
        <w:spacing w:line="240" w:lineRule="auto"/>
        <w:ind w:firstLine="640" w:firstLineChars="200"/>
        <w:outlineLvl w:val="1"/>
        <w:rPr>
          <w:rFonts w:ascii="黑体" w:eastAsia="黑体"/>
          <w:sz w:val="32"/>
          <w:szCs w:val="32"/>
        </w:rPr>
      </w:pPr>
      <w:r>
        <w:rPr>
          <w:rFonts w:ascii="黑体" w:eastAsia="黑体"/>
          <w:sz w:val="32"/>
          <w:szCs w:val="32"/>
        </w:rPr>
        <w:t>七、政府性基金预算财政拨款收入支出决算情况说明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pPr>
        <w:spacing w:line="240" w:lineRule="auto"/>
        <w:ind w:firstLine="640" w:firstLineChars="200"/>
        <w:outlineLvl w:val="1"/>
        <w:rPr>
          <w:rFonts w:ascii="黑体" w:eastAsia="黑体"/>
          <w:sz w:val="32"/>
          <w:szCs w:val="32"/>
        </w:rPr>
      </w:pPr>
      <w:r>
        <w:rPr>
          <w:rFonts w:ascii="黑体" w:eastAsia="黑体"/>
          <w:sz w:val="32"/>
          <w:szCs w:val="32"/>
        </w:rPr>
        <w:t>八、国有资本经营预算财政拨款收入支出决算情况说明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pPr>
        <w:spacing w:line="240" w:lineRule="auto"/>
        <w:ind w:firstLine="640" w:firstLineChars="200"/>
        <w:outlineLvl w:val="1"/>
        <w:rPr>
          <w:rFonts w:ascii="黑体" w:eastAsia="黑体"/>
          <w:sz w:val="32"/>
          <w:szCs w:val="32"/>
        </w:rPr>
      </w:pPr>
      <w:r>
        <w:rPr>
          <w:rFonts w:ascii="黑体" w:eastAsia="黑体"/>
          <w:sz w:val="32"/>
          <w:szCs w:val="32"/>
        </w:rPr>
        <w:t>九、财政拨款“三公”经费支出决算情况说明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财政拨款“三公”经费支出0.36万元，比上年减少0.05万元，下降12.20%，主要原因是：2024年公车核定保险费用降低。无公务接待费、公车购置费、无因公出国（境）费。其中：因公出国（境）费支出0.00万元,占0.00%，与上年相比无变化，主要原因是：本年与去年无变化，无因公出国（境）费；公务用车购置及运行维护费支出0.36万元，占100.00%，比上年减少0.05万元，下降12.20%，主要原因是：2024年公车核定保险费用降低；公务接待费支出0.00万元，占0.00%，与上年相比无变化，主要原因是：本年与去年无变化，无公务接待。</w:t>
      </w:r>
    </w:p>
    <w:p>
      <w:pPr>
        <w:spacing w:line="240" w:lineRule="auto"/>
        <w:ind w:firstLine="640" w:firstLineChars="200"/>
        <w:rPr>
          <w:rFonts w:ascii="仿宋_GB2312" w:eastAsia="仿宋_GB2312"/>
          <w:sz w:val="32"/>
          <w:szCs w:val="32"/>
        </w:rPr>
      </w:pPr>
      <w:r>
        <w:rPr>
          <w:rFonts w:ascii="仿宋_GB2312" w:eastAsia="仿宋_GB2312"/>
          <w:sz w:val="32"/>
          <w:szCs w:val="32"/>
        </w:rPr>
        <w:t>具体情况如下：</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因公出国（境）费支出0.00万元，开支内容包括</w:t>
      </w:r>
      <w:r>
        <w:rPr>
          <w:rFonts w:hint="eastAsia" w:ascii="仿宋_GB2312" w:eastAsia="仿宋_GB2312"/>
          <w:sz w:val="32"/>
          <w:szCs w:val="32"/>
          <w:lang w:eastAsia="zh-CN"/>
        </w:rPr>
        <w:t>我单位未安排因公出国（境）费</w:t>
      </w:r>
      <w:r>
        <w:rPr>
          <w:rFonts w:ascii="仿宋_GB2312" w:eastAsia="仿宋_GB2312"/>
          <w:sz w:val="32"/>
          <w:szCs w:val="32"/>
        </w:rPr>
        <w:t>。单位全年安排的因公出国（境）团组0个，因公出国（境）0人次。</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公务用车购置及运行维护费0.36万元，其中：公务用车购置费0.00万元，公务用车运行维护费0.36万元。公务用车运行维护费开支内容包括</w:t>
      </w:r>
      <w:r>
        <w:rPr>
          <w:rFonts w:hint="eastAsia" w:ascii="仿宋_GB2312" w:eastAsia="仿宋_GB2312"/>
          <w:sz w:val="32"/>
          <w:szCs w:val="32"/>
          <w:lang w:eastAsia="zh-CN"/>
        </w:rPr>
        <w:t>维修维护费、加油费</w:t>
      </w:r>
      <w:r>
        <w:rPr>
          <w:rFonts w:ascii="仿宋_GB2312" w:eastAsia="仿宋_GB2312"/>
          <w:sz w:val="32"/>
          <w:szCs w:val="32"/>
        </w:rPr>
        <w:t>。公务用车购置数0辆，公务用车保有量1辆。国有资产占用情况中固定资产车辆1辆，与公务用车保有量差异原因是：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rPr>
        <w:t>。</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公务接待费0.00万元，开支内容包括</w:t>
      </w:r>
      <w:r>
        <w:rPr>
          <w:rFonts w:hint="eastAsia" w:ascii="仿宋_GB2312" w:eastAsia="仿宋_GB2312"/>
          <w:sz w:val="32"/>
          <w:szCs w:val="32"/>
          <w:lang w:eastAsia="zh-CN"/>
        </w:rPr>
        <w:t>我单位未安排公务接待费</w:t>
      </w:r>
      <w:r>
        <w:rPr>
          <w:rFonts w:ascii="仿宋_GB2312" w:eastAsia="仿宋_GB2312"/>
          <w:sz w:val="32"/>
          <w:szCs w:val="32"/>
        </w:rPr>
        <w:t>。单位全年安排的国内公务接待0批次，0人次。</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与全年预算相比，财政拨款“三公”经费支出全年预算数0.36万元，决算数0.36万元，预决算差异率0.00%，主要原因是：按预算计划执行。其中：因公出国（境）费全年预算数0.00万元，决算数0.00万元，预决算差异率0.00%，主要原因是：按预算计划执行；公务用车购置费全年预算数0.00万元，决算数0.00万元，预决算差异率0.00%，主要原因是：按预算计划执行；公务用车运行维护费全年预算数0.36万元，决算数0.36万元，预决算差异率0.00%，主要原因是：按预算计划执行；公务接待费全年预算数0.00万元，决算数0.00万元，预决算差异率0.00%，主要原因是：按预算计划执行。</w:t>
      </w:r>
    </w:p>
    <w:p>
      <w:pPr>
        <w:spacing w:line="240" w:lineRule="auto"/>
        <w:ind w:firstLine="640" w:firstLineChars="200"/>
        <w:outlineLvl w:val="1"/>
        <w:rPr>
          <w:rFonts w:ascii="黑体" w:eastAsia="黑体"/>
          <w:sz w:val="32"/>
          <w:szCs w:val="32"/>
        </w:rPr>
      </w:pPr>
      <w:r>
        <w:rPr>
          <w:rFonts w:ascii="黑体" w:eastAsia="黑体"/>
          <w:sz w:val="32"/>
          <w:szCs w:val="32"/>
        </w:rPr>
        <w:t>十、其他重要事项的情况说明</w:t>
      </w:r>
    </w:p>
    <w:p>
      <w:pPr>
        <w:spacing w:line="240" w:lineRule="auto"/>
        <w:ind w:firstLine="643" w:firstLineChars="200"/>
        <w:outlineLvl w:val="2"/>
        <w:rPr>
          <w:rFonts w:ascii="黑体" w:eastAsia="黑体"/>
          <w:sz w:val="32"/>
          <w:szCs w:val="32"/>
        </w:rPr>
      </w:pPr>
      <w:r>
        <w:rPr>
          <w:rFonts w:ascii="黑体" w:eastAsia="黑体"/>
          <w:b/>
          <w:sz w:val="32"/>
          <w:szCs w:val="32"/>
        </w:rPr>
        <w:t>（一）机关运行经费及公用经费支出情况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2024年度新疆维吾尔自治区黄埔军校同学会单位（行政单位和参照公务员法管理事业单位）机关运行经费支出1.71万元，比上年减少1.77万元，下降50.86%，主要原因是：按照“过紧日子”要求，严控经费支出。</w:t>
      </w:r>
    </w:p>
    <w:p>
      <w:pPr>
        <w:spacing w:line="240" w:lineRule="auto"/>
        <w:ind w:firstLine="643" w:firstLineChars="200"/>
        <w:outlineLvl w:val="2"/>
        <w:rPr>
          <w:rFonts w:ascii="黑体" w:eastAsia="黑体"/>
          <w:sz w:val="32"/>
          <w:szCs w:val="32"/>
        </w:rPr>
      </w:pPr>
      <w:r>
        <w:rPr>
          <w:rFonts w:ascii="黑体" w:eastAsia="黑体"/>
          <w:b/>
          <w:sz w:val="32"/>
          <w:szCs w:val="32"/>
        </w:rPr>
        <w:t>（二）政府采购情况</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2024年度政府采购支出总额0.36万元，其中：政府采购货物支出0.00万元、政府采购工程支出0.00万元、政府采购服务支出0.36万元。</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授予中小企业合同金额0.00万元，占政府采购支出总额的0.00%，其中：授予小微企业合同金额0.00万元，占政府采购支出总额的0.00%。</w:t>
      </w:r>
    </w:p>
    <w:p>
      <w:pPr>
        <w:spacing w:line="240" w:lineRule="auto"/>
        <w:ind w:firstLine="643" w:firstLineChars="200"/>
        <w:outlineLvl w:val="2"/>
        <w:rPr>
          <w:rFonts w:ascii="黑体" w:eastAsia="黑体"/>
          <w:sz w:val="32"/>
          <w:szCs w:val="32"/>
        </w:rPr>
      </w:pPr>
      <w:r>
        <w:rPr>
          <w:rFonts w:ascii="黑体" w:eastAsia="黑体"/>
          <w:b/>
          <w:sz w:val="32"/>
          <w:szCs w:val="32"/>
        </w:rPr>
        <w:t>（三）国有资产占用情况说明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截至2024年12月31日，房屋0.00平方米，价值0.00万元。车辆1辆，价值28.38万元，其中：副部（省）级及以上领导用车0辆、主要负责人用车0辆、机要通信用车0辆、应急保障用车0辆、执法执勤用车0辆、特种专业技术用车0辆、离退休干部服务用车0辆、其他用车1辆，其他用车主要是：一般公务用</w:t>
      </w:r>
      <w:r>
        <w:rPr>
          <w:rFonts w:hint="eastAsia" w:ascii="仿宋_GB2312" w:eastAsia="仿宋_GB2312"/>
          <w:sz w:val="32"/>
          <w:szCs w:val="32"/>
          <w:lang w:eastAsia="zh-CN"/>
        </w:rPr>
        <w:t>车</w:t>
      </w:r>
      <w:r>
        <w:rPr>
          <w:rFonts w:ascii="仿宋_GB2312" w:eastAsia="仿宋_GB2312"/>
          <w:sz w:val="32"/>
          <w:szCs w:val="32"/>
        </w:rPr>
        <w:t>;单价100万元（含）以上设备（不含车辆）0台（套）。</w:t>
      </w:r>
    </w:p>
    <w:p>
      <w:pPr>
        <w:spacing w:line="240" w:lineRule="auto"/>
        <w:ind w:firstLine="640" w:firstLineChars="200"/>
        <w:outlineLvl w:val="1"/>
        <w:rPr>
          <w:rFonts w:ascii="黑体" w:eastAsia="黑体"/>
          <w:sz w:val="32"/>
          <w:szCs w:val="32"/>
        </w:rPr>
      </w:pPr>
      <w:r>
        <w:rPr>
          <w:rFonts w:ascii="黑体" w:eastAsia="黑体"/>
          <w:sz w:val="32"/>
          <w:szCs w:val="32"/>
        </w:rPr>
        <w:t>十一、预算绩效的情况说明</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w:t>
      </w:r>
      <w:r>
        <w:rPr>
          <w:rFonts w:hint="eastAsia" w:ascii="仿宋_GB2312" w:eastAsia="仿宋_GB2312"/>
          <w:sz w:val="32"/>
          <w:szCs w:val="32"/>
          <w:lang w:val="en-US" w:eastAsia="zh-CN"/>
        </w:rPr>
        <w:t>70.62</w:t>
      </w:r>
      <w:r>
        <w:rPr>
          <w:rFonts w:ascii="仿宋_GB2312" w:eastAsia="仿宋_GB2312"/>
          <w:sz w:val="32"/>
          <w:szCs w:val="32"/>
        </w:rPr>
        <w:t>万元，实际执行总额</w:t>
      </w:r>
      <w:r>
        <w:rPr>
          <w:rFonts w:hint="eastAsia" w:ascii="仿宋_GB2312" w:eastAsia="仿宋_GB2312"/>
          <w:sz w:val="32"/>
          <w:szCs w:val="32"/>
          <w:lang w:val="en-US" w:eastAsia="zh-CN"/>
        </w:rPr>
        <w:t>69.99</w:t>
      </w:r>
      <w:r>
        <w:rPr>
          <w:rFonts w:ascii="仿宋_GB2312" w:eastAsia="仿宋_GB2312"/>
          <w:sz w:val="32"/>
          <w:szCs w:val="32"/>
        </w:rPr>
        <w:t>万元；预算绩效评价项目1个，全年预算数20.00万元，全年执行数20.00万元。预算绩效管理取得的成效：一是年初申报绩效目标开展疆内调研2次，实际2次；二是学习培训、座谈、交流等活动的次数4次，实际4次；三是走访全疆黄埔会员30人次，实际走访完成30人次；四是计划黄埔会员满意度≥90%，实际完成黄埔会员满意度≥90%。发现的问题及原因：机关人员调整原因，在岗人员较少，任务压力较大。下一步改进措施：及时招录专业人员补充，更好完成年度任务。具体附部门整体支出绩效自评表，项目支出绩效自评表和部门评价报告。</w:t>
      </w:r>
    </w:p>
    <w:p>
      <w:pPr>
        <w:spacing w:line="240" w:lineRule="auto"/>
        <w:ind w:firstLine="640" w:firstLineChars="200"/>
        <w:outlineLvl w:val="1"/>
        <w:rPr>
          <w:rFonts w:ascii="黑体" w:eastAsia="黑体"/>
          <w:sz w:val="32"/>
          <w:szCs w:val="32"/>
        </w:rPr>
      </w:pPr>
      <w:r>
        <w:rPr>
          <w:rFonts w:ascii="黑体" w:eastAsia="黑体"/>
          <w:sz w:val="32"/>
          <w:szCs w:val="32"/>
        </w:rPr>
        <w:t>十二、其他需说明的事项</w:t>
      </w:r>
    </w:p>
    <w:p>
      <w:pPr>
        <w:spacing w:line="240" w:lineRule="auto"/>
        <w:ind w:firstLine="640" w:firstLineChars="200"/>
        <w:jc w:val="both"/>
        <w:rPr>
          <w:rFonts w:ascii="仿宋_GB2312" w:eastAsia="仿宋_GB2312"/>
          <w:sz w:val="32"/>
          <w:szCs w:val="32"/>
        </w:rPr>
      </w:pPr>
      <w:r>
        <w:rPr>
          <w:rFonts w:ascii="仿宋_GB2312" w:eastAsia="仿宋_GB2312"/>
          <w:sz w:val="32"/>
          <w:szCs w:val="32"/>
        </w:rPr>
        <w:t>本单位无其他需说明事项。</w:t>
      </w:r>
    </w:p>
    <w:p>
      <w:pPr>
        <w:spacing w:line="240" w:lineRule="auto"/>
        <w:ind w:firstLine="640" w:firstLineChars="200"/>
        <w:rPr>
          <w:rFonts w:ascii="仿宋_GB2312" w:eastAsia="仿宋_GB2312"/>
          <w:sz w:val="32"/>
          <w:szCs w:val="32"/>
        </w:rPr>
      </w:pPr>
    </w:p>
    <w:p>
      <w:r>
        <w:rPr>
          <w:sz w:val="0"/>
          <w:szCs w:val="0"/>
        </w:rPr>
        <w:br w:type="page"/>
      </w:r>
    </w:p>
    <w:p>
      <w:pPr>
        <w:spacing w:line="240" w:lineRule="auto"/>
        <w:jc w:val="center"/>
        <w:outlineLvl w:val="0"/>
        <w:rPr>
          <w:rFonts w:ascii="黑体" w:eastAsia="黑体"/>
          <w:sz w:val="32"/>
          <w:szCs w:val="32"/>
        </w:rPr>
      </w:pPr>
      <w:r>
        <w:rPr>
          <w:rFonts w:ascii="黑体" w:eastAsia="黑体"/>
          <w:sz w:val="32"/>
          <w:szCs w:val="32"/>
        </w:rPr>
        <w:t>第三部分 专业名词解释</w:t>
      </w:r>
    </w:p>
    <w:p>
      <w:pPr>
        <w:spacing w:line="240" w:lineRule="auto"/>
        <w:ind w:firstLine="643" w:firstLineChars="200"/>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pPr>
        <w:spacing w:line="240" w:lineRule="auto"/>
        <w:ind w:firstLine="643" w:firstLineChars="200"/>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pPr>
        <w:spacing w:line="240" w:lineRule="auto"/>
        <w:ind w:firstLine="643" w:firstLineChars="200"/>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pPr>
        <w:spacing w:line="240" w:lineRule="auto"/>
        <w:ind w:firstLine="643" w:firstLineChars="200"/>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pPr>
        <w:spacing w:line="240" w:lineRule="auto"/>
        <w:ind w:firstLine="643" w:firstLineChars="200"/>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pPr>
        <w:spacing w:line="240" w:lineRule="auto"/>
        <w:ind w:firstLine="643" w:firstLineChars="200"/>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pPr>
        <w:spacing w:line="240" w:lineRule="auto"/>
        <w:ind w:firstLine="643" w:firstLineChars="200"/>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3" w:firstLineChars="200"/>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3" w:firstLineChars="200"/>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pPr>
        <w:spacing w:line="240" w:lineRule="auto"/>
        <w:ind w:firstLine="643" w:firstLineChars="200"/>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pPr>
        <w:spacing w:line="240" w:lineRule="auto"/>
        <w:ind w:firstLine="643" w:firstLineChars="200"/>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pPr>
        <w:spacing w:line="240" w:lineRule="auto"/>
        <w:ind w:firstLine="643" w:firstLineChars="200"/>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pPr>
        <w:spacing w:line="240" w:lineRule="auto"/>
        <w:ind w:firstLine="643" w:firstLineChars="200"/>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r>
        <w:rPr>
          <w:sz w:val="0"/>
          <w:szCs w:val="0"/>
        </w:rPr>
        <w:br w:type="page"/>
      </w:r>
    </w:p>
    <w:p>
      <w:pPr>
        <w:spacing w:line="240" w:lineRule="auto"/>
        <w:jc w:val="center"/>
        <w:outlineLvl w:val="0"/>
        <w:rPr>
          <w:rFonts w:ascii="黑体" w:eastAsia="黑体"/>
          <w:sz w:val="32"/>
          <w:szCs w:val="32"/>
        </w:rPr>
      </w:pPr>
      <w:r>
        <w:rPr>
          <w:rFonts w:ascii="黑体" w:eastAsia="黑体"/>
          <w:sz w:val="32"/>
          <w:szCs w:val="32"/>
        </w:rPr>
        <w:t>第四部分 部门决算报表（见附表）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一、《收入支出决算总表》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二、《收入决算表》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三、《支出决算表》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四、《财政拨款收入支出决算总表》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五、《一般公共预算财政拨款支出决算表》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六、《一般公共预算财政拨款基本支出决算表》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七、《政府性基金预算财政拨款收入支出决算表》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八、《国有资本经营预算财政拨款收入支出决算表》</w:t>
      </w:r>
    </w:p>
    <w:p>
      <w:pPr>
        <w:spacing w:line="240" w:lineRule="auto"/>
        <w:ind w:firstLine="640" w:firstLineChars="200"/>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N2E3ZjQwMTg5NDIyZmY5NmNmYWUzMTdhNjU2NzdlNmQifQ=="/>
  </w:docVars>
  <w:rsids>
    <w:rsidRoot w:val="000D6B4B"/>
    <w:rsid w:val="000D6B4B"/>
    <w:rsid w:val="001E29A3"/>
    <w:rsid w:val="004031B2"/>
    <w:rsid w:val="227E5DBA"/>
    <w:rsid w:val="6F037A32"/>
    <w:rsid w:val="72181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semiHidden/>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uiPriority w:val="99"/>
    <w:rPr>
      <w:color w:val="0000FF"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uiPriority w:val="9"/>
    <w:rPr>
      <w:rFonts w:asciiTheme="majorHAnsi" w:hAnsiTheme="majorHAnsi" w:eastAsiaTheme="majorEastAsia" w:cstheme="majorBidi"/>
      <w:b/>
      <w:bCs/>
      <w:color w:val="4F81BD" w:themeColor="accent1"/>
    </w:rPr>
  </w:style>
  <w:style w:type="character" w:customStyle="1" w:styleId="21">
    <w:name w:val="标题 4 Char"/>
    <w:basedOn w:val="14"/>
    <w:link w:val="5"/>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864</Words>
  <Characters>4931</Characters>
  <Lines>41</Lines>
  <Paragraphs>11</Paragraphs>
  <TotalTime>1347</TotalTime>
  <ScaleCrop>false</ScaleCrop>
  <LinksUpToDate>false</LinksUpToDate>
  <CharactersWithSpaces>5784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2025-08-28T10:31:00Z</dcterms:created>
  <dc:creator>Lenovo</dc:creator>
  <cp:lastModifiedBy>Administrator</cp:lastModifiedBy>
  <dcterms:modified xsi:type="dcterms:W3CDTF">2025-11-11T09:51:06Z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A3CE4541E6984FAFB64AFAEF0B776B22_12</vt:lpwstr>
  </property>
</Properties>
</file>