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15 wp14">
  <w:body>
    <w:p>
      <w:pPr>
        <w:widowControl/>
        <w:jc w:val="left"/>
        <w:rPr>
          <w:rFonts w:ascii="黑体" w:cs="宋体" w:eastAsia="黑体" w:hAnsi="黑体"/>
          <w:color w:val="333333"/>
          <w:sz w:val="32"/>
          <w:szCs w:val="32"/>
          <w:lang w:bidi="ar"/>
        </w:rPr>
      </w:pPr>
      <w:r>
        <w:rPr>
          <w:rFonts w:ascii="黑体" w:cs="宋体" w:eastAsia="黑体" w:hAnsi="黑体" w:hint="eastAsia"/>
          <w:color w:val="333333"/>
          <w:sz w:val="32"/>
          <w:szCs w:val="32"/>
          <w:lang w:bidi="ar"/>
        </w:rPr>
        <w:t>附件4：</w:t>
      </w:r>
      <w:bookmarkStart w:id="1" w:name="_GoBack"/>
      <w:bookmarkEnd w:id="1"/>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部门单位整体支出绩效</w:t>
      </w:r>
    </w:p>
    <w:p>
      <w:pPr>
        <w:spacing w:line="540" w:lineRule="exact"/>
        <w:jc w:val="center"/>
        <w:rPr>
          <w:rFonts w:ascii="方正小标宋_GBK" w:cs="宋体" w:eastAsia="方正小标宋_GBK" w:hAnsi="华文中宋"/>
          <w:b/>
          <w:kern w:val="0"/>
          <w:sz w:val="48"/>
          <w:szCs w:val="48"/>
        </w:rPr>
      </w:pPr>
      <w:r>
        <w:rPr>
          <w:rFonts w:ascii="方正小标宋_GBK" w:cs="宋体" w:eastAsia="方正小标宋_GBK" w:hAnsi="华文中宋" w:hint="eastAsia"/>
          <w:b/>
          <w:kern w:val="0"/>
          <w:sz w:val="48"/>
          <w:szCs w:val="48"/>
        </w:rPr>
        <w:t>自评报告</w:t>
      </w:r>
    </w:p>
    <w:p>
      <w:pPr>
        <w:spacing w:line="540" w:lineRule="exact"/>
        <w:jc w:val="center"/>
        <w:rPr>
          <w:rFonts w:ascii="华文中宋" w:cs="宋体" w:eastAsia="华文中宋" w:hAnsi="华文中宋"/>
          <w:b/>
          <w:kern w:val="0"/>
          <w:sz w:val="52"/>
          <w:szCs w:val="52"/>
        </w:rPr>
      </w:pPr>
    </w:p>
    <w:p>
      <w:pPr>
        <w:spacing w:line="540" w:lineRule="exact"/>
        <w:jc w:val="center"/>
        <w:rPr>
          <w:rFonts w:cs="宋体" w:eastAsia="仿宋_GB2312" w:hAnsi="宋体"/>
          <w:kern w:val="0"/>
          <w:sz w:val="36"/>
          <w:szCs w:val="36"/>
        </w:rPr>
      </w:pPr>
      <w:r>
        <w:rPr>
          <w:rFonts w:cs="宋体" w:eastAsia="仿宋_GB2312" w:hAnsi="宋体" w:hint="eastAsia"/>
          <w:kern w:val="0"/>
          <w:sz w:val="36"/>
          <w:szCs w:val="36"/>
        </w:rPr>
        <w:t>（</w:t>
      </w:r>
      <w:r>
        <w:rPr>
          <w:rFonts w:ascii="仿宋_GB2312" w:eastAsia="仿宋_GB2312" w:hAnsi="宋体" w:hint="eastAsia"/>
          <w:b/>
          <w:sz w:val="32"/>
          <w:szCs w:val="32"/>
        </w:rPr>
        <w:t>2023</w:t>
      </w:r>
      <w:r>
        <w:rPr>
          <w:rFonts w:cs="宋体" w:eastAsia="仿宋_GB2312" w:hAnsi="宋体" w:hint="eastAsia"/>
          <w:kern w:val="0"/>
          <w:sz w:val="36"/>
          <w:szCs w:val="36"/>
        </w:rPr>
        <w:t>年度）</w:t>
      </w: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spacing w:line="540" w:lineRule="exact"/>
        <w:ind w:firstLine="720" w:firstLineChars="200"/>
        <w:rPr>
          <w:rFonts w:cs="宋体" w:eastAsia="仿宋_GB2312" w:hAnsi="宋体"/>
          <w:kern w:val="0"/>
          <w:sz w:val="44"/>
          <w:szCs w:val="44"/>
        </w:rPr>
      </w:pPr>
      <w:r>
        <w:rPr>
          <w:rFonts w:cs="宋体" w:eastAsia="仿宋_GB2312" w:hAnsi="宋体" w:hint="eastAsia"/>
          <w:kern w:val="0"/>
          <w:sz w:val="36"/>
          <w:szCs w:val="36"/>
        </w:rPr>
        <w:t>部门单位名称（公章）</w:t>
      </w:r>
      <w:r>
        <w:rPr>
          <w:rFonts w:ascii="仿宋" w:cs="仿宋" w:eastAsia="仿宋" w:hAnsi="仿宋" w:hint="eastAsia"/>
          <w:kern w:val="0"/>
          <w:sz w:val="44"/>
          <w:szCs w:val="44"/>
        </w:rPr>
        <w:t>：</w:t>
      </w:r>
      <w:r>
        <w:rPr>
          <w:rStyle w:val="6"/>
          <w:rFonts w:ascii="仿宋" w:cs="仿宋" w:eastAsia="仿宋" w:hAnsi="仿宋" w:hint="eastAsia"/>
          <w:b w:val="0"/>
          <w:bCs w:val="0"/>
          <w:spacing w:val="-4"/>
          <w:sz w:val="44"/>
          <w:szCs w:val="44"/>
        </w:rPr>
        <w:t>新疆维吾尔自治区工商业联合会</w:t>
      </w:r>
    </w:p>
    <w:p>
      <w:pPr>
        <w:spacing w:line="540" w:lineRule="exact"/>
        <w:ind w:firstLine="720" w:firstLineChars="200"/>
        <w:rPr>
          <w:rFonts w:ascii="仿宋" w:cs="仿宋" w:eastAsia="仿宋" w:hAnsi="仿宋"/>
          <w:kern w:val="0"/>
          <w:sz w:val="44"/>
          <w:szCs w:val="44"/>
        </w:rPr>
      </w:pPr>
      <w:r>
        <w:rPr>
          <w:rFonts w:cs="宋体" w:eastAsia="仿宋_GB2312" w:hAnsi="宋体" w:hint="eastAsia"/>
          <w:kern w:val="0"/>
          <w:sz w:val="36"/>
          <w:szCs w:val="36"/>
        </w:rPr>
        <w:t>填报时间：</w:t>
      </w:r>
      <w:r>
        <w:rPr>
          <w:rStyle w:val="6"/>
          <w:rFonts w:ascii="仿宋" w:cs="仿宋" w:eastAsia="仿宋" w:hAnsi="仿宋" w:hint="eastAsia"/>
          <w:b w:val="0"/>
          <w:bCs w:val="0"/>
          <w:spacing w:val="-4"/>
          <w:sz w:val="44"/>
          <w:szCs w:val="44"/>
        </w:rPr>
        <w:t>2024年03月29日</w:t>
      </w:r>
    </w:p>
    <w:p>
      <w:pPr>
        <w:spacing w:line="700" w:lineRule="exact"/>
        <w:jc w:val="left"/>
        <w:rPr>
          <w:rFonts w:cs="宋体" w:eastAsia="仿宋_GB2312" w:hAnsi="宋体"/>
          <w:kern w:val="0"/>
          <w:sz w:val="36"/>
          <w:szCs w:val="36"/>
        </w:rPr>
      </w:pPr>
    </w:p>
    <w:p>
      <w:pPr>
        <w:spacing w:line="700" w:lineRule="exact"/>
        <w:jc w:val="left"/>
        <w:rPr>
          <w:rFonts w:cs="宋体" w:eastAsia="仿宋_GB2312" w:hAnsi="宋体"/>
          <w:kern w:val="0"/>
          <w:sz w:val="36"/>
          <w:szCs w:val="36"/>
        </w:rPr>
      </w:pP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基本概况：</w:t>
      </w:r>
    </w:p>
    <w:p>
      <w:pPr>
        <w:spacing w:line="600" w:lineRule="exact"/>
        <w:ind w:firstLine="964" w:firstLineChars="300"/>
        <w:jc w:val="left"/>
        <w:rPr>
          <w:rFonts w:ascii="Arial" w:cs="Arial" w:hAnsi="Arial" w:hint="eastAsia"/>
          <w:b/>
          <w:bCs/>
          <w:color w:val="333333"/>
          <w:sz w:val="30"/>
          <w:szCs w:val="30"/>
        </w:rPr>
      </w:pPr>
      <w:r>
        <w:rPr>
          <w:rFonts w:ascii="黑体" w:cs="宋体" w:eastAsia="黑体" w:hAnsi="黑体" w:hint="eastAsia"/>
          <w:b/>
          <w:color w:themeColor="text1" w:val="000000"/>
          <w:sz w:val="32"/>
          <w:szCs w:val="32"/>
          <w:lang w:bidi="ar"/>
          <w14:textFill>
            <w14:solidFill>
              <w14:schemeClr w14:val="tx1"/>
            </w14:solidFill>
          </w14:textFill>
        </w:rPr>
        <w:t>（一）</w:t>
      </w:r>
      <w:r>
        <w:rPr>
          <w:rFonts w:ascii="黑体" w:cs="宋体" w:eastAsia="黑体" w:hAnsi="黑体"/>
          <w:b/>
          <w:color w:themeColor="text1" w:val="000000"/>
          <w:sz w:val="32"/>
          <w:szCs w:val="32"/>
          <w:lang w:bidi="ar"/>
          <w14:textFill>
            <w14:solidFill>
              <w14:schemeClr w14:val="tx1"/>
            </w14:solidFill>
          </w14:textFill>
        </w:rPr>
        <w:t>部门单位基本情况</w:t>
      </w:r>
      <w:r>
        <w:rPr>
          <w:rFonts w:ascii="Arial" w:cs="Arial" w:hAnsi="Arial" w:hint="eastAsia"/>
          <w:b/>
          <w:bCs/>
          <w:color w:val="333333"/>
          <w:sz w:val="30"/>
          <w:szCs w:val="30"/>
        </w:rPr>
        <w:t>：</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（一）单位概况</w:t>
        <w:br/>
        <w:t>新疆维吾尔自治区工商业联合会是中国共产党领导的以非公有制企业和非公有制经济人士为主体的人民团体和商会组织，是党和政府联系非公有制经济人士的桥梁纽带，是政府管理和服务非公有制经济的助手。是中国人民政治协商会议的重要组成部分，工商联工作是党的统一战线工作和经济工作的重要内容，工商联事业是中国特色社会主义事业的重要组成部分。</w:t>
        <w:br/>
        <w:t>（一）加强和改进非公有制经济人士思想政治工作。</w:t>
        <w:br/>
        <w:t>引导非公有制经济人士践行社会主义核心价值体系，树立中国特色社会主义共同理想，树立义利兼顾、以义为先理念，学习、贯彻党和国家的方针政策，发扬自我教育的优良传统，自觉地把自身企业的发展与国家的发展结合起来，把个人富裕与全体人民的共同富裕结合起来，把遵循市场法则与发扬社会主义道德结合起来，爱国、敬业、诚信、守法、贡献，做合格的中国特色社会主义事业建设者。宣传表彰他们中的先进典型。</w:t>
        <w:br/>
        <w:t>引导非公有制经济人士弘扬中华传统美德，弘扬时代新风，致富思源、富而思进，积极承担社会责任，热心公益事业，投身光彩事业，加强企业文化建设，支持企业党建工作，为基层党组织开展活动、发挥作用提供必要条件。</w:t>
        <w:br/>
        <w:t>（二）参与政治协商，发挥民主监督作用，积极参政议政。</w:t>
        <w:br/>
        <w:t>密切同非公有制经济人士的联系，深入了解他们的意愿和要求，向党和政府提出相关意见和建议。围绕贯彻落实党的路线方针政策，参与国家有关政策、法律法规的制定和贯彻执行，促进非公有制经济市场环境、政策环境、法治环境、社会环境的改善。帮助非公有制经济代表人士提高参政议政能力和水平，积极反映社情民意，有序参与政治生活和社会事务。做好非公有制经济代表人士的发现、培养、推荐和管理工作。</w:t>
        <w:br/>
        <w:t>（三）协助政府管理和服务非公有制经济。</w:t>
        <w:br/>
        <w:t>积极探索建立适应社会主义市场经济要求的服务载体和机制，为非公有制企业提供政策、信息、法律、融资、技术、人才等方面服务，引导非公有制企业按照科学发展观要求，加快经济发展方式转变和产业优化升级，推进结构调整和自主创新，不断增强市场竞争能力、抵御风险能力和可持续发展能力。增强与香港特别行政区、澳门特别行政区和台湾地区工商界的联系，促进经贸合作。积极开展民间外交，加强同国外工商界的交流合作，为非公有制企业开展国际合作提供服务。承办政府和有关部门委托事项。组织非公有制企业参与实施国家区域发展战略，为地方经济建设服务，促进城乡、区域统筹协调发展。</w:t>
        <w:br/>
        <w:t>（四）促进行业协会商会改革发展。</w:t>
        <w:br/>
        <w:t>履行社会团体业务主管单位职责，指导和推动商会组织依照法律法规和本章程制定商会章程，完善法人治理结构，规范内部管理，发挥宣传政策、提供服务、反映诉求、维护权益、加强自律的作用，培育和发展中国特色商会组织。参与行业协会商会政策法律的制定。指导商会反映行业发展动态，促进行业健康发展。</w:t>
        <w:br/>
        <w:t>（五）参与协调劳动关系，协同社会管理，促进社会和谐稳定。</w:t>
        <w:br/>
        <w:t>参与协调劳动关系三方会议，同政府部门、工会组织和其他有关企业方代表一道，共同推动劳动关系立法、健全劳动标准体系和劳动关系协调机制，共同研究解决劳动关系中的重大问题，参与劳动争议调解、仲裁。引导非公有制企业依法与工会就职工工资、生活福利、社会保险等涉及职工切身利益问题进行平等协商，签订集体合同。协调处理投资者利益和劳动者权益的关系，引导非公有制企业构建和谐劳动关系，积极创造就业岗位，严格遵守国家相关法律法规和政策措施，尊重和维护员工合法权益，协助指导非公有制企业党建工作，推动其建立工会等群团组织，积极开展活动。</w:t>
        <w:br/>
        <w:t>编制数66人，实有人数97人，其中：在职55人，离休1人，退休43人。</w:t>
      </w:r>
      <w:bookmarkStart w:id="0" w:name="_Hlk43849111"/>
      <w:bookmarkEnd w:id="0"/>
    </w:p>
    <w:p>
      <w:pPr>
        <w:spacing w:line="600" w:lineRule="exact"/>
        <w:ind w:firstLine="964" w:firstLineChars="300"/>
        <w:jc w:val="left"/>
        <w:rPr>
          <w:rFonts w:ascii="黑体" w:cs="宋体" w:eastAsia="黑体" w:hAnsi="黑体" w:hint="eastAsia"/>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（二）</w:t>
      </w:r>
      <w:r>
        <w:rPr>
          <w:rFonts w:ascii="黑体" w:cs="宋体" w:eastAsia="黑体" w:hAnsi="黑体"/>
          <w:b/>
          <w:color w:themeColor="text1" w:val="000000"/>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1. 加强科学理论武装。将深入学习贯彻党的二十大精神作为加强民营经济人士思想政治引领的首要任务，在学深悟透做实习近平新时代中国特色社会主义思想上下功夫。完整准确贯彻新时代党的治疆方略，做好对依法治疆、团结稳疆、文化润疆、富民兴疆、长期建疆的深刻解读和全面准确把握，开展多形式、多层次、广覆盖的学习培训，引导民营经济人士在政治立场、政治方向、政治原则、政治道路上同以习近平同志为核心的党中央保持高度一致，为实现新疆社会稳定和长治久安总目标贡献力量。拟定于上半年举办一期各地州市工商联主席、书记培训班。</w:t>
        <w:br/>
        <w:t>责任领导：艾尼瓦尔？阿不都热合曼</w:t>
        <w:br/>
        <w:t>责任部室：宣传教育部牵头，会员部配合</w:t>
        <w:br/>
        <w:t>2. 深化理想信念教育。进一步推动理想信念教育常态化制度化，持续抓好学习教育，加强世情国情党情区情教育，引导民营经济人士不断增强在党的领导下走中国特色社会主义道路的信心和决心。定期组织民营经济人士参观红色教育基地，铸牢中华民族共同体意识，开展革命传统教育；推动有条件的民营企业创建现代创新发展教育基地。拟定于上半年举办一期工商联企业家新任副主席、副会长、常委培训班。</w:t>
        <w:br/>
        <w:t>责任领导：艾尼瓦尔？阿不都热合曼</w:t>
        <w:br/>
        <w:t>责任部室：宣传教育部牵头，党建工作部、会员部配合</w:t>
        <w:br/>
        <w:t>3. 加强法治思想引领。深入贯彻落实习近平法治思想，引导民营企业家讲正气、走正道，聚精会神办企业、遵纪守法搞经营。通过组织民营经济代表人士参加“德胜门大讲堂”线上培训、举办企业家法商研修班、邀请法学专家线上授课，利用“商会企业法律服务管家”“逢八学法”小程序开展“掌上普法”“指上学法”等活动，落实好、履行好我区工商联系统“八五”普法职责，全面开展法治民企建设。</w:t>
        <w:br/>
        <w:t>责任领导：陆卫东</w:t>
        <w:br/>
        <w:t>责任部室：法律部</w:t>
        <w:br/>
        <w:t>4. 守牢意识形态主阵地。落实好民营经济领域意识形态工作责任制，教育引导各族群众树立正确的国家观、历史观、民族观、文化观、宗教观，让中华民族共同体意识根植广大民营经济人士心灵深处。充分利用好央媒、中华工商时报、新疆电视台、新疆广播电台、石榴云、新疆日报、亚洲中心时报等媒体、新媒体的主阵地作用，及时向新闻媒体提供报道线索，重点选树宣传一批在“专精特新”创新驱动、乡村振兴、稳定就业、民族团结、履行社会责任、党建引领等活动中表现突出的民营企业家，发挥正面典型的引导激励和教育作用。充分发挥新媒体宣传平台作用，启动掌上工商联订阅服务类型公众号。以全国工商联成立70周年为契机，加大民营经济领域宣传引导力度，选树民营企业和民营经济人士先进典型，营造良好社会氛围。</w:t>
        <w:br/>
        <w:t>责任领导：艾尼瓦尔？阿不都热合曼</w:t>
        <w:br/>
        <w:t>责任部室：宣传教育部</w:t>
        <w:br/>
        <w:t>（二）在提升服务本领上下功夫，进一步推动民营经济高质量发展。民营经济是推动高质量发展的重要主体。各级工商联要坚决贯彻落实党中央决策部署，把握时代大势、遵循经济规律，主动作为、靠前服务，探索全方位、全要素为民营企业赋能的服务机制，帮助企业践行新发展理念、融入新发展格局，实现民营经济高质量发展。</w:t>
        <w:br/>
        <w:t>5. 积极推动企业治理现代化。引导民营企业苦练内功，建立健全现代化经营模式和公司治理体系，实现治理结构完善、产权结构清晰、股东行为规范、内部监督有效、经营管理合规、财会制度健全，带头建立现代化企业制度，争创国内乃至世界一流企业。组织企业家开展研学交流活动，邀请区内外知名企业家座谈讲座。高水准做好2023度上规模民营企业调研上报工作，确保参与企业不少于300家。贯彻落实《全国工商联关于推动民营企业加快数字化转型发展的意见》，适时举办民营企业数字化转型工作推进座谈会，总结分享和交流经验。</w:t>
        <w:br/>
        <w:t>责任领导：斯日古楞</w:t>
        <w:br/>
        <w:t>责任部室：经济联络部</w:t>
        <w:br/>
        <w:t>6. 积极推动开放发展。配合全国工商联举办好民营企业助推丝绸之路经济带核心区建设座谈会。扎实推进“两送一防”（送政策、送服务、防风险）行动，探索建立“走出去”民营企业政策咨询、信息、法律、投融资、安保等服务工作机制。进一步密切与国外工商团体、港澳台社团的交流合作，加强与自治区党委外办、商务厅、贸促会等部门的沟通，适时组织民营企业走出去参加各类涉外展会，开展经贸交流活动。</w:t>
        <w:br/>
        <w:t>责任领导：斯日古楞</w:t>
        <w:br/>
        <w:t>责任部室：经济联络部</w:t>
        <w:br/>
        <w:t>7. 积极推动安全发展。引导企业建立风险防控机制，压实企业风险自救主体责任，坚决守住不发生系统性风险的底线。引导民营企业树立“红绿灯”意识，法律禁止的领域坚决不进，损害公共利益的事坚决不做，促进资本健康发展；引导民营企业加快关键核心技术攻关和关键零部件的自主研发，提高产业链供应链韧性和安全水平。贯彻落实《全国工商联关于加强民营企业信用体系建设的实施意见》，指导地州市工商联、各直属商会摸清本地区、本商会民营企业信用体系建设情况的底数，指导各地州市工商联和各直属商会对纳入黑名单的企业做好信用修复工作。加强与自治区市场监管局、国税局、银保监局等部门和相关机构合作，对执常委企业开展日常经营情况监测。</w:t>
        <w:br/>
        <w:t>责任领导：斯日古楞</w:t>
        <w:br/>
        <w:t>责任部室：经济联络部</w:t>
        <w:br/>
        <w:t>8. 积极推动科技创新。加强与科技、工信等部门的联系，引导企业加大科技研发投入，助力培育更多专精特新“小巨人”企业，促进大中小企业融通创新。引导民营企业做好碳达峰碳中和工作，实现绿色发展。鼓励支持民营企业加快改革发展和转型升级步伐，3月底前与自治区科协签订战略合作协议，支持民营企业集聚资源、创新发展。</w:t>
        <w:br/>
        <w:t>责任领导：斯日古楞</w:t>
        <w:br/>
        <w:t>责任部室：经济联络部</w:t>
        <w:br/>
        <w:t>9. 积极推动工商联服务平台建设。以平台化、机制化、数字化为牵引，改进工作方式，提升服务质效。结合新时代新任务，在聚焦服务民营企业特别是中小微企业、解决企业合理诉求等方面搭建新平台、打造新品牌。加强与自治区大力促进民营经济健康发展部门联席会议机制办公室及各成员单位的联系，共同推动中央和自治区出台的促进民营经济发展各项政策措施落地见效，反映并推动解决民营企业发展中遇到的突出困难和问题。提升工商联系统干部信息化业务水平，加快推进“网上工商联”平台建设，加强全区工商联系统信息互通、数据共享和业务协同水平。</w:t>
        <w:br/>
        <w:t>责任领导：斯日古楞</w:t>
        <w:br/>
        <w:t>责任部室：经济联络部牵头，会员部、办公室配合</w:t>
        <w:br/>
        <w:t>（三）在推动全面构建亲清政商关系上下功夫，不断优化“两个健康”环境。充分发挥各级工商联参与政治协商、民主监督和参政议政职能作用，当好桥梁纽带和助手，千方百计地推动全面构建亲清政商关系，帮助民营企业解决实际问题，营造有利于民营经济高质量发展和民营经济人士高素质成长的政策环境、法治环境、市场环境和社会环境。</w:t>
        <w:br/>
        <w:t>10. 高位推动，全力营造服务民营经济高质量发展的营商环境。推动完善自治区、地（州、市）、县（市、区）三级领导联系民营企业（商会、协会）制度。完善政府职能部门与企业沟通机制，打通民营企业发展面临的各种堵点，推进政企沟通协商常态化、制度化和规范化。推动召开自治区民营经济发展大会，常态化参与筹办“疆企？主席面对面”座谈会，坚定民营企业在疆发展信心，营造有利于民营经济高质量发展的良好社会氛围。积极配合全国工商联持续开展好民营企业运行状况季度调查和民营企业评价营商环境相关工作。带头落实好《关于规范全区统战系统党员干部和公职人员同民营经济人士联系交往行为的正面和负面清单》。4月份组织部分企业家副主席、副会长、行业商会会长赴广东省、浙江省、江苏省、上海市等民营经济发达省区调研，5月份组织部分地州市工商联主席、书记赴内地省市调研，增进与内地工商界的交流合作。</w:t>
        <w:br/>
        <w:t>责任领导：陆卫东</w:t>
        <w:br/>
        <w:t>责任部室：研究室牵头，办公室配合</w:t>
        <w:br/>
        <w:t>11. 推动营造宜商惠企的政策环境。做好政策宣传解读，及时将政策传达给企业，确保企业应知尽知。协同推动政策落细落实，持续跟踪政策落地效果，及时将企业对政策的真实感受传递给政府及相关职能部门。拟于3月份成立工商联参政议政委员会，打造新型智库。做好人大建议、政协提案办理和社情民意信息报送工作。加强与工商联界别人大代表、政协委员的联系，调动参政议政积极性。编制好民营经济年度发展报告。</w:t>
        <w:br/>
        <w:t>责任领导：陆卫东</w:t>
        <w:br/>
        <w:t>责任部室：研究室牵头，经济联络部配合</w:t>
        <w:br/>
        <w:t>12. 推动营造公正透明的法治环境。深入贯彻落实习近平总书记“法治是最好的营商环境”的重要指示批示精神，强弱项、补短板，加快推动建立自治区民营企业维权联席会议机制，开发自治区民营经济投诉服务线上平台，做好自治区工商联民营企业投诉服务中心日常工作，持续推进“万所联万会”机制，发挥好“法官联络室”“检察联络室”“警官联络室”“涉案企业合规第三方监督评估机制管委会办公室”作用，建好工商联系统上下联通、公检法司协作联动、社会资源有机联合的法律服务体系，用好立法协商、法律维权、商会调解等工作载体，依法维护民营企业产权和企业家权益，助力依法治疆，着力打造法治化营商环境，切实提高工商联系统干部依法办事、服务“两个健康”的能力水平。</w:t>
        <w:br/>
        <w:t>责任领导：陆卫东</w:t>
        <w:br/>
        <w:t>责任部室：法律部</w:t>
        <w:br/>
        <w:t>13. 推动营造公平竞争的市场环境。积极推动打通中小企业和民营企业在企业开办、项目投资、招标投标、政府采购等方面面临的各种“玻璃门”“旋转门”“准入不准营”等制度性堵点，着力解决困扰企业的经营性成本高、税费负担仍然相对重、融资难融资贵等突出问题，为企业营造公平、公正、便利的市场环境。与自治区税务局共同实施2023年助力小微市场主体发展“春雨润苗”专项行动。</w:t>
        <w:br/>
        <w:t>责任领导：斯日古楞</w:t>
        <w:br/>
        <w:t>责任部室：经济联络部</w:t>
        <w:br/>
        <w:t>14. 推动营造尊商亲商的社会环境。完善工商联大宣传工作格局，建立发挥宣传员队伍作用的工作机制，用好主流媒体、自媒体和互联网平台，广泛宣传民营企业和企业家正面典型，展示民营经济人士良好风貌，营造有利于企业家创业的社会氛围。完善民营经济领域舆情工作机制，紧盯重要节点、活跃话题加强舆情预判处置，协助企业加强品牌维护，塑造良好形象。配合有关部门依法打击造谣抹黑、新闻敲诈等行为，为“两个健康”营造清朗舆论环境。拟定于5月份举办一期民营企业舆情工作培训班。</w:t>
        <w:br/>
        <w:t>责任领导：艾尼瓦尔？阿不都热合曼</w:t>
        <w:br/>
        <w:t>责任部室：宣传教育部</w:t>
        <w:br/>
        <w:t>（四）在推动工商联商会改革上下功夫，进一步发挥商会在促进民营企业发展中的重要作用。商会组织是现代市场经济体系的重要环节，是民营经济统战工作的重要组织依托。各级工商联要着眼更好实现党对民营经济的领导、提升社会治理效能，切实承担起培育和发展中国特色商会组织责任，推动统战工作向商会组织有效覆盖，更好发挥商会在促进“两个健康”中的重要作用。</w:t>
        <w:br/>
        <w:t>15. 加强地方组织工作指导，完善组织体系。摸底掌握全区县级工商联组织建设状况及存在问题，持续推动“一个设立、五个有”县级工商联达标，指导乌鲁木齐市达坂城区和乌鲁木齐县设立工商联组织，实现全区县级行政区划工商联组织全覆盖。指导乌鲁木齐市、巴州、阿克苏地区、哈密市等4个地州市工商联，力争推动尚未达到“一个设立、五个有”要求的10个县级工商联设立党组，配齐配强县级工商联党组书记。继续开展“五好”县级工商联确认工作，指导各地深入开展“五好”县级工商联建设，充分发挥全国“五好”标杆县级工商联示范带动作用，与外省工商联开展县级工商联“互学互促”活动。</w:t>
        <w:br/>
        <w:t>责任领导：许业平</w:t>
        <w:br/>
        <w:t>责任部室：会员部</w:t>
        <w:br/>
        <w:t>16. 强化商会分类指导，构建商会梯度培育格局。推动直属商会规范化建设，提供精准培育服务，强化分类指导。以“有党组织、有制度、有人员、有场所、有经费、有工作平台”的“六有”商会为基准，对全区各级工商联所属商会“六有”达标情况开展数据统计，分类分级梳理商会规范化建设现状，对两年未年检或年检不合格、不发挥作用的“僵尸商会”进行重整或清理，五年内基本实现“六有”建设目标。持续推进全国“四好商会”标准化建设。有序扩大商会组织覆盖和会员覆盖，持续推进异地商会的归口管理。指导各级工商联在当地支柱产业、主导产业和民营经济集中的产业，尤其是在新兴产业、新兴业态、现代生产性服务业等领域新成立一批商会组织。推动县级工商联在同级党委政府的领导下，切实履行对乡镇街道商会的业务主管职责。</w:t>
        <w:br/>
        <w:t>责任领导：许业平</w:t>
        <w:br/>
        <w:t>责任部室：会员部</w:t>
        <w:br/>
        <w:t>17. 着力加强民营经济代表人士队伍建设，建立健全现代商会制度。以健全会员制、代表任期制、专委会制度为关键，优化组织结构、激发组织活力，构建以所属商会为主阵地、以全体民营企业和民营经济人士为服务对象的工作格局。进一步健全执委会、常委会运行机制，规范对企业家执委、常委履职情况的考核评价，改进对企业家副主席、副会长遵守行为规范情况监督管理。加强与企业家副主席、副会长的日常联系，组织做好参与自治区党委、政府、人大、政协相关活动。支持商会承接政府转移职能、提供公共服务和社会服务。健全商会政治引导、经济服务、诉求反映、权益维护、诚信自律、协同参与社会治理等职能。</w:t>
        <w:br/>
        <w:t>责任领导：许业平</w:t>
        <w:br/>
        <w:t>责任部室：会员部</w:t>
        <w:br/>
        <w:t>18. 加强商会党建工作，增强商会党组织政治功能。坚持以党建带会建，突出所属商会政治功能，持续推进商会实现党的组织和工作全覆盖。抓好商会党组织组建工作，工商联新成立的商会同步建立党的组织，探索商会党组织发挥作用的有效模式，适时推出一批商会党建工作典型。完善工商联党组织领导和管理所属商会党建工作的有效机制，落实工商联党组对所属商会党建工作的全面从严治党主体责任。推行商会管理层党员和党组织成员双向进入、交叉任职，推动商会党员负责人担任党组织书记，强化商会党组织把方向、议大事、促落实的职能作用。</w:t>
        <w:br/>
        <w:t>责任领导：斯日古楞</w:t>
        <w:br/>
        <w:t>责任部室：党建工作部</w:t>
        <w:br/>
        <w:t>19. 充分发挥商会作用，汇聚招商引资强大合力。积极与全国工商联相关专业商会、部分发达省市工商联联系，为商会、民营经济人士搭建好走出去请进来平台。充分发挥好商会桥梁纽带作用，主动引导商会广泛宣传新疆、宣传政策、推荐项目，积极为全区经济高质量发展牵线搭桥，通过商会把更多的企业引入新疆，带动产业发展。强化与19个对口援疆省市工商联的对接，争取引导对口援疆省市民营企业积极组团来疆考察，组织动员内地民营企业到新疆投资兴业、开展帮扶。引导商会聚焦“八大产业集群”招商引资，以产业链招商引资为重点，善用市场化运作发展产业、壮大经济主体规模。用好党政领导联系商会和重点企业制度，发挥好商会在招商引资中的积极作用，切实提振企业投资发展信心和决心。</w:t>
        <w:br/>
        <w:t>责任领导：斯日古楞</w:t>
        <w:br/>
        <w:t>责任部室：经济联络部牵头，会员部配合</w:t>
        <w:br/>
        <w:t>（五）在促进共同富裕的伟大实践上下功夫，引导民营企业积极回报社会。共同富裕是社会主义的本质要求，是中国式现代化的重要特征。民营经济是富民经济，各级工商联要引导民营经济人士自觉践行共享发展理念，在助力共同富裕的伟大实践中受教育、作贡献。</w:t>
        <w:br/>
        <w:t>20. 积极助推乡村振兴和区域协调发展。以实施“万企兴万村”行动为总抓手，广泛发动民营企业深度参与乡村振兴，为缩小城乡差距作贡献。培树“万企兴万村”典型企业和示范项目，加强与地方政府和金融机构合作，为“万企兴万村”行动提供政策和资金支持。引导民营企业在促进区域协调发展中发挥作用，组织动员民营企业参加区域性经贸活动，搭好企业与地方对接平台，加强跟踪服务，促进投资项目落地。加强与自治区“万企兴万村”行动领导小组成员单位的沟通合作，拟于4月底前召开2023年“万企兴万村”行动领导小组工作会议。持续开展民营企业南疆行活动，拟定于下半年召开民营企业助推南疆发展大会。</w:t>
        <w:br/>
        <w:t>责任领导：斯日古楞</w:t>
        <w:br/>
        <w:t>责任部室：经济联络部</w:t>
        <w:br/>
        <w:t>21. 积极引导民营企业履行社会责任。发布民营企业社会责任报告、积极宣传优秀案例，建立健全民营企业投身光彩事业和公益事业的激励机制。贯彻落实就业优先战略，引导民营企业在稳就业保就业中发挥主力军作用，为缩小收入差距作贡献。深入推进“民企高校携手促就业行动”，持续开展民营企业招聘月、金秋招聘月活动，促进高校毕业生、农民工和退役军人就业。引导民营企业积极参与养老、医疗卫生、文化、体育、职业教育、社区服务和环境保护等社会事业。以定点帮扶和助力示范工作为重点，充分发挥工商联的组织优势、特殊资源优势，拟于3月底前动员民营企业、商会组织赴定点帮扶村和助力示范村开展调研和项目对接。拟于9月底前开展民营企业社会责任调研，发布自治区民营企业履行社会责任报告，持续推动自治区民营企业履行社会责任品牌化、常态化、标准化、平台化。</w:t>
        <w:br/>
        <w:t>责任领导：斯日古楞</w:t>
        <w:br/>
        <w:t>责任部室：经济联络部</w:t>
        <w:br/>
        <w:t>（六）在加强自身建设上下功夫，提升机关工作质量和效能。突出“政治建会”，教育引导全区工商联系统干部职工深刻领悟“两个确立”的决定性意义，对标新时代好干部标准和民族地区“四个特别”政治标准，不断提高政治判断力、政治领悟力、政治执行力，增强工商联凝聚力、执行力、影响力。</w:t>
        <w:br/>
        <w:t>22. 以党的政治建设为统领，建设让党中央放心、让人民群众满意的模范机关。始终坚持以习近平新时代中国特色社会主义思想武装工商联干部，深入学习贯彻党的二十大精神，认真学习贯彻习近平总书记关于新时代民营经济统战工作和工商联工作、特别是新疆工作的重要讲话和重要指示精神，持续聚焦完整准确贯彻新时代党的治疆方略。坚持把政治建设摆在首位，把作风建设作为长期任务，努力建设学习型党组织、学习型机关。紧扣新时代机关党建工作的时代特点和党员思想行为特征，不断创新学习教育培训的方式、方法和载体，激发党员队伍活力。组织举办机关处级及以下党员干部职工党的二十大精神培训班，组织做好党员干部参训调训工作，健全完善以中心组学习、支部学习、网络学习培训、自主学习教育为主体的日常学习教育机制。对会机关4个党支部设置、支部班子配备等进行优化调整，进一步规范支部运行，提升党支部标准化、规范化建设水平。</w:t>
        <w:br/>
        <w:t>责任领导：艾尼瓦尔？阿不都热合曼</w:t>
        <w:br/>
        <w:t>责任部室：人事处、机关党委</w:t>
        <w:br/>
        <w:t>23. 完善干部管理机制。始终突出严的基调，进一步强化机关党员干部职工的管理责任，建立职责清晰、层级明确、责任到人的干部队伍管理机制。加大关心关爱力度，完善谈心谈话制度，及时帮助干部职工解决思想问题和突出困难。优化日常考评机制，进一步发挥考评“指挥棒”作用，实施干部职工分级分类考评，将日常考评结果与干部任用、职级晋升紧密结合起来。坚持公开公平公正和好中选优原则，强化能者上的激励机制，积极推动《领导干部能上能下规定》稳步落实。加大干部轮岗交流、多岗位历练调配力度。探索建立面向各地州市、县市区工商联的干部人才联动机制，通过定期择优遴选优秀中青年干部开展相互挂职等措施，拓展工商联干部培养培训渠道；同时加强与大中型民营企业沟通对接，采取安排优秀年轻干部相互挂职学习等方式，探索建立机关、企业之间干部人才培养培训机制。深入推进新时代“访惠聚”驻村工作。扎实做好机关老干部工作。</w:t>
        <w:br/>
        <w:t>责任领导：艾尼瓦尔？阿不都热合曼</w:t>
        <w:br/>
        <w:t>责任部室：人事处、机关党委、机关纪委</w:t>
        <w:br/>
        <w:t>24. 强化标杆意识，确保机关规范高效运行。把好“办文关”强化批办制度，恪守主动规范高效精准工作要求，严把责任关、文字关、格式关和程序关，做好公文编制、印发、报送工作；严格落实文件批办制度，强化责任意识，发挥好督促提醒作用。经常性、常态化对涉密人员、涉密文件信息资料、涉密计算机、微信等保密管理情况进行全覆盖全方位自查整改。完善“保障关”统筹机关运转，严格按照高标准和要求组织会议；统筹做好安全生产、后勤服务、物资保障、应急处置、疫情防控等工作，启动推进会产甄别、核查、申报及确权工作；严格管理经费预算、财务、办公用品、公务接待、公务用车等工作，做到保障有方有力。把好“监督关”确保决策部署落地见效，对主席办公会、党组作出的各项决策部署、领导批示交办的各类工作事项等，紧抓不放、大胆督办，跟踪问效、落实到底。</w:t>
        <w:br/>
        <w:t>责任领导：许业平</w:t>
        <w:br/>
        <w:t>责任部室：办公室牵头，各部室配合</w:t>
      </w:r>
    </w:p>
    <w:p>
      <w:pPr>
        <w:spacing w:line="600" w:lineRule="exact"/>
        <w:ind w:firstLine="964" w:firstLineChars="300"/>
        <w:jc w:val="left"/>
        <w:rPr>
          <w:rFonts w:ascii="黑体" w:cs="宋体" w:eastAsia="黑体" w:hAnsi="黑体" w:hint="eastAsia"/>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（三）</w:t>
      </w:r>
      <w:r>
        <w:rPr>
          <w:rFonts w:ascii="黑体" w:cs="宋体" w:eastAsia="黑体" w:hAnsi="黑体"/>
          <w:b/>
          <w:color w:themeColor="text1" w:val="000000"/>
          <w:sz w:val="32"/>
          <w:szCs w:val="32"/>
          <w:lang w:bidi="ar"/>
          <w14:textFill>
            <w14:solidFill>
              <w14:schemeClr w14:val="tx1"/>
            </w14:solidFill>
          </w14:textFill>
        </w:rPr>
        <w:t>部门单位整体预算规模及安排情况：</w:t>
      </w:r>
    </w:p>
    <w:p>
      <w:pPr>
        <w:spacing w:line="600" w:lineRule="exact"/>
        <w:ind w:firstLine="960" w:firstLineChars="300"/>
        <w:jc w:val="left"/>
        <w:rPr>
          <w:rFonts w:ascii="仿宋_GB2312" w:eastAsia="仿宋_GB2312" w:hAnsi="宋体" w:hint="eastAsia"/>
          <w:bCs/>
          <w:sz w:val="32"/>
          <w:szCs w:val="32"/>
        </w:rPr>
      </w:pPr>
      <w:r>
        <w:rPr>
          <w:rFonts w:ascii="仿宋_GB2312" w:eastAsia="仿宋_GB2312" w:hAnsi="宋体" w:hint="eastAsia"/>
          <w:bCs/>
          <w:sz w:val="32"/>
          <w:szCs w:val="32"/>
        </w:rPr>
        <w:t>2023年初批复我单位部门预算为1704.34万元，预算追加资金344.61万元；2023年实际决算支出2048.95万元，其中人员经费支出1555.95万元、日常公用经费支出138.91万元，项目经费支出354.09万元。</w:t>
        <w:br/>
        <w:t>基本支出由财政部门按照进度每月分期拨付，人员支出按照单位人员工资计划发放工资，缴纳社会保险；日常公用经费按照我单位基本支出的合理要求支出，保证机关单位日常工作正常运转，涉及其他资金支出按照我单位内控体系中设定的费用支出流程申报审批进行；项目支出属于政府采购目录的，组织人员制定采购计划，按照财政部厅有关政府采购的规定，通过政府采购平台方式生产政府采购合同；属于非政府采购的项目，按照“三重一大”制度规定，重大项目支出上党组会研究决定。</w:t>
        <w:br/>
        <w:t>基本支出包括人员经费主要包括：人员支出和公用支出。公用经费主要包括：办公费、水费、电费、邮电费、取暖费、差旅费、会议费、培训费、工会经费、福利费、公务用车运行维护费、其他交通费用、其他商品和服务支出等。</w:t>
        <w:br/>
        <w:t>项目支出办公费、印刷费、水费、电费、邮电费、差旅费、维修（护）费、会议费、培训费、委托业务费、公务用车运行维护费、其他交通费用、其他商品和服务支出、办公设备购置等。</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（一）基本支出</w:t>
        <w:br/>
        <w:t>基本支出用于为保障机构正常运转、完成日常工作任务而发生的支出，包括人员经费和公用经费。2023年基本支出经费1694.85万元，包括追加经费包括“访惠聚”工作经费、丧葬费、抚恤金、职业年金、支教干部生活补助、结对认亲走访活动交通费、绩效考核奖励资金等。其中，人员经费支出1555.95万元、日常公用经费支出138.91万元。</w:t>
        <w:br/>
        <w:t>（二）项目支出</w:t>
        <w:br/>
        <w:t>采取多种形式开展系列学习教育活动，深化供给侧结构性改革，实现经济高质量发展，迫切需要民营企业加快转型升级，提高民营企业家队伍整体素质。加强民营经济统战工作，有利于引导民营经济人士坚定发展信心、提高创新能力，鼓励支持民营企业转变发展方式、调整产业结构、转换增长动力，推动民营经济更好发展。</w:t>
        <w:br/>
        <w:t>全面贯彻新发展理念，用好稳定红利，认真履职尽责，大力营造良好营商环境，助力非公有制经济高质量发展。当好桥梁助手，提升非公有制经济和中小企业整体发展质量和水平。强化教育培训，提升非公有制经济人士综合素质和能力，营造支持非公有制经济和中小企业发展的社会氛围。积极参政议政，推动非公有制经济人士参与国家政治生活和社会管理工作。坚持依法维权，保护好非公有制经济组织和个人的合法权益。坚持解放思想，推进改革创新，大力加强基层组织建设。组织各类非公有制人士参加理想信念教育培训班。</w:t>
        <w:br/>
        <w:t>2023年预算安排专项资金295万元，实际执行281.77万元；年中追加丝路工商恳谈会专项资金54.74万元，全部执行完成；年中追加全区民营经济高质量发展大会专项资金21万元，在实际执行中，我单位积极落实“过紧日子”思想，压低会议价格，减少费用支出，最终实际支出17.58万元。</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eastAsia="仿宋_GB2312" w:hAnsi="宋体"/>
          <w:b/>
          <w:sz w:val="32"/>
          <w:szCs w:val="32"/>
        </w:rPr>
      </w:pPr>
      <w:r>
        <w:rPr>
          <w:rFonts w:ascii="黑体" w:cs="宋体" w:eastAsia="黑体" w:hAnsi="黑体" w:hint="eastAsia"/>
          <w:bCs/>
          <w:color w:val="333333"/>
          <w:sz w:val="32"/>
          <w:szCs w:val="32"/>
          <w:lang w:bidi="ar"/>
        </w:rPr>
        <w:t xml:space="preserve"> </w:t>
      </w:r>
      <w:r>
        <w:rPr>
          <w:rFonts w:ascii="仿宋_GB2312" w:eastAsia="仿宋_GB2312" w:hAnsi="宋体" w:hint="eastAsia"/>
          <w:bCs/>
          <w:sz w:val="32"/>
          <w:szCs w:val="32"/>
        </w:rPr>
        <w:t>（一）指标一：开展全区地州县市工商联各类主题会议次数</w:t>
        <w:br/>
        <w:t>目标设定情况：加强与自治区部门单位的横向联系，健全工作协作机制，加大部门联动，组织商会企业参加有关部门组织的各类会议活动，为民营企业家畅通政企沟通渠道。</w:t>
        <w:br/>
        <w:t>年中绩效运行监控情况：根据各部室工作开展情况，在每年绩效监控期间，各部室上报工作开展情况，在年中实时监控工作进度。</w:t>
        <w:br/>
        <w:t>本次评价实际完成情况及成效分析：指标工作按时完成，但工作实效性有时滞后。</w:t>
        <w:br/>
        <w:t>偏差原因分析及下一步措施：在疫情防控结束，全面复工复产后，各项工作安排较多，年中临时性工作安排紧密，导致工作实效性受影响。在今后工作中加强工作统筹能力，确保工作按期按时完成。</w:t>
        <w:br/>
        <w:t>（二）指标二：开展非公有制企业各类主题培训次数</w:t>
        <w:br/>
        <w:t>目标设定情况：根据机关2023年度工作安排，牢牢把握党对民营经济领域意识形态工作主动权，着力打造大培训大宣传工作格局，组织民营企业家、年轻一代民营经济人士、执常委、工商联干部，开展理想信念教育等各类培训，引导广大民营经济人士认清发展形势，坚定发展信心，听党话、跟党走。</w:t>
        <w:br/>
        <w:t>年中绩效运行监控情况：根据各部室工作开展情况，在每年绩效监控期间，各部室上报工作开展情况，在年中实时监控工作进度。</w:t>
        <w:br/>
        <w:t>本次评价实际完成情况及成效分析：指标工作按时完成，但工作实效性有时滞后。</w:t>
        <w:br/>
        <w:t>偏差原因分析及下一步措施：在疫情防控结束，全面复工复产后，各项工作安排较多，年中临时性工作安排紧密，导致工作实效性受影响。在今后工作中加强工作统筹能力，确保工作按期按时完成。</w:t>
        <w:br/>
        <w:t></w:t>
        <w:br/>
        <w:t>（三）指标三：完成非公经济各类调研工作报告</w:t>
        <w:br/>
        <w:t>目标设定情况：根据机关2023年度工作安排，按照民营经济代表人士专题调研制度，每年开展重点考察调研，党政领导和有关部门认真听取调研提出的意见建议。</w:t>
        <w:br/>
        <w:t>年中绩效运行监控情况：建立民营经济代表人士专题调研制度，每年开展重点考察调研，党政领导和有关部门要认真听取调研提出的意见建议。</w:t>
        <w:br/>
        <w:t>本次评价实际完成情况及成效分析：指标工作按时完成，但工作实效性有时滞后。</w:t>
        <w:br/>
        <w:t>偏差原因分析及下一步措施：在疫情防控结束，全面复工复产后，各项工作安排较多，年中临时性工作安排紧密，导致工作实效性受影响。在今后工作中加强工作统筹能力，确保工作按期按时完成。</w:t>
        <w:br/>
        <w:t>（四）指标四：非公有制经济人士满意度</w:t>
        <w:br/>
        <w:t>目标设定情况：根据机关工作开展情况，对非公有制经济人士提供服务，发挥工商联党组领导核心作用。工商联党组要切实履行职责，保证党的理论和路线方针政策、党委决策部署的贯彻落实，把握工商联工作的正确方向。确保非公有制经济人士满意。</w:t>
        <w:br/>
        <w:t>年中绩效运行监控情况：根据各部室工作开展情况，在每年绩效监控期间，各部室上报工作开展情况，在年中实时监控工作进度。</w:t>
        <w:br/>
        <w:t>本次评价实际完成情况及成效分析：指标工作按时完成，但工作实效性有时滞后。</w:t>
        <w:br/>
        <w:t>偏差原因分析及下一步措施：在疫情防控结束，全面复工复产后，各项工作安排较多，年中临时性工作安排紧密，导致工作实效性受影响。在今后工作中加强工作统筹能力，确保工作按期按时完成。</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评价结论：</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2023年度部门整体支出绩效自评综合得分100分，评价结果为“优”。</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一是对绩效监控工作重要性认识不足，在吃透、掌握绩效监控相关文件上没有下功夫，缺乏开展绩效监控工作的主动性，对绩效监控的本质要求和目标、具体实施流程等方面理解不到位。二是绩效监控工作制度建设有待完善，职责分工不清，单位内部配合不够顺畅。</w:t>
        <w:br/>
        <w:t>结合单位实际情况和业务特点，制定出台专项工作经费使用管理办法，提高认识，转变观念，严格执行国家财经法规和财务管理制度以及有关专项资金管理办法，按照项目预算批复的用途规范资金使用，紧紧围绕统战工作重点，科学合理的设立项目绩效指标体系，保证项目评价指标的实用性、可操作性和规范性。加强组织领导。要加强对项目工作的全面领导，便于及时发现项目运行过程中出现的问题并加以改进。对日常工作加强规范和监督，防止在项目执行过程中出现偏差。</w:t>
      </w:r>
    </w:p>
    <w:p>
      <w:pPr>
        <w:numPr>
          <w:ilvl w:val="0"/>
          <w:numId w:val="1"/>
        </w:numPr>
        <w:snapToGrid w:val="0"/>
        <w:spacing w:line="540" w:lineRule="exact"/>
        <w:rPr>
          <w:rFonts w:ascii="黑体" w:cs="宋体" w:eastAsia="黑体" w:hAnsi="黑体"/>
          <w:b/>
          <w:color w:themeColor="text1" w:val="000000"/>
          <w:sz w:val="32"/>
          <w:szCs w:val="32"/>
          <w:lang w:bidi="ar"/>
          <w14:textFill>
            <w14:solidFill>
              <w14:schemeClr w14:val="tx1"/>
            </w14:solidFill>
          </w14:textFill>
        </w:rPr>
      </w:pPr>
      <w:r>
        <w:rPr>
          <w:rFonts w:ascii="黑体" w:cs="宋体" w:eastAsia="黑体" w:hAnsi="黑体" w:hint="eastAsia"/>
          <w:b/>
          <w:color w:themeColor="text1" w:val="000000"/>
          <w:sz w:val="32"/>
          <w:szCs w:val="32"/>
          <w:lang w:bidi="ar"/>
          <w14:textFill>
            <w14:solidFill>
              <w14:schemeClr w14:val="tx1"/>
            </w14:solidFill>
          </w14:textFill>
        </w:rPr>
        <w:t>改进措施和建议：</w:t>
      </w:r>
    </w:p>
    <w:p>
      <w:pPr>
        <w:spacing w:line="600" w:lineRule="exact"/>
        <w:ind w:firstLine="960" w:firstLineChars="300"/>
        <w:jc w:val="left"/>
        <w:rPr>
          <w:rFonts w:ascii="仿宋_GB2312" w:eastAsia="仿宋_GB2312" w:hAnsi="宋体"/>
          <w:bCs/>
          <w:sz w:val="32"/>
          <w:szCs w:val="32"/>
        </w:rPr>
      </w:pPr>
      <w:r>
        <w:rPr>
          <w:rFonts w:ascii="仿宋_GB2312" w:eastAsia="仿宋_GB2312" w:hAnsi="宋体" w:hint="eastAsia"/>
          <w:bCs/>
          <w:sz w:val="32"/>
          <w:szCs w:val="32"/>
        </w:rPr>
        <w:t>完善项目管理体制和运行机制、建立科学化、精细化的项目管理机制、建立绩效评价制度，提高经费使用效益，强化财务风险管理。提高项目资金使用的科学性、准确性，提高项目执行效率，完善财务监督制度。加强项目管理的力度，提高参与项目人员的绩效认知和调查统计能力，把问题及时收集反馈到管理层面，把苗头问题尽量解决在发生的初期，或遏制在问题未发生之时，以免造成不良结果，努力实现年初制定的整体支出绩效目标。强化项目经费的全过程监督，推进项目经费执行的公开，接收群众监督，更好地为非公有制人士服务，为新疆的社会稳定和长治久安做出更大的贡献。</w:t>
      </w:r>
    </w:p>
    <w:p/>
    <w:sectPr>
      <w:pgSz w:h="16838" w:w="11906"/>
      <w:pgMar w:bottom="1440" w:footer="992" w:gutter="0" w:header="851" w:left="1080" w:right="1080" w:top="1440"/>
      <w:cols w:num="1" w:space="425"/>
      <w:docGrid w:charSpace="0"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hanging="720" w:left="1368"/>
      </w:pPr>
      <w:rPr>
        <w:rFonts w:hint="default"/>
      </w:rPr>
    </w:lvl>
    <w:lvl w:ilvl="1" w:tentative="0">
      <w:start w:val="1"/>
      <w:numFmt w:val="lowerLetter"/>
      <w:lvlText w:val="%2)"/>
      <w:lvlJc w:val="left"/>
      <w:pPr>
        <w:ind w:hanging="420" w:left="1488"/>
      </w:pPr>
    </w:lvl>
    <w:lvl w:ilvl="2" w:tentative="0">
      <w:start w:val="1"/>
      <w:numFmt w:val="lowerRoman"/>
      <w:lvlText w:val="%3."/>
      <w:lvlJc w:val="right"/>
      <w:pPr>
        <w:ind w:hanging="420" w:left="1908"/>
      </w:pPr>
    </w:lvl>
    <w:lvl w:ilvl="3" w:tentative="0">
      <w:start w:val="1"/>
      <w:numFmt w:val="decimal"/>
      <w:lvlText w:val="%4."/>
      <w:lvlJc w:val="left"/>
      <w:pPr>
        <w:ind w:hanging="420" w:left="2328"/>
      </w:pPr>
    </w:lvl>
    <w:lvl w:ilvl="4" w:tentative="0">
      <w:start w:val="1"/>
      <w:numFmt w:val="lowerLetter"/>
      <w:lvlText w:val="%5)"/>
      <w:lvlJc w:val="left"/>
      <w:pPr>
        <w:ind w:hanging="420" w:left="2748"/>
      </w:pPr>
    </w:lvl>
    <w:lvl w:ilvl="5" w:tentative="0">
      <w:start w:val="1"/>
      <w:numFmt w:val="lowerRoman"/>
      <w:lvlText w:val="%6."/>
      <w:lvlJc w:val="right"/>
      <w:pPr>
        <w:ind w:hanging="420" w:left="3168"/>
      </w:pPr>
    </w:lvl>
    <w:lvl w:ilvl="6" w:tentative="0">
      <w:start w:val="1"/>
      <w:numFmt w:val="decimal"/>
      <w:lvlText w:val="%7."/>
      <w:lvlJc w:val="left"/>
      <w:pPr>
        <w:ind w:hanging="420" w:left="3588"/>
      </w:pPr>
    </w:lvl>
    <w:lvl w:ilvl="7" w:tentative="0">
      <w:start w:val="1"/>
      <w:numFmt w:val="lowerLetter"/>
      <w:lvlText w:val="%8)"/>
      <w:lvlJc w:val="left"/>
      <w:pPr>
        <w:ind w:hanging="420" w:left="4008"/>
      </w:pPr>
    </w:lvl>
    <w:lvl w:ilvl="8" w:tentative="0">
      <w:start w:val="1"/>
      <w:numFmt w:val="lowerRoman"/>
      <w:lvlText w:val="%9."/>
      <w:lvlJc w:val="right"/>
      <w:pPr>
        <w:ind w:hanging="420" w:left="4428"/>
      </w:pPr>
    </w:lvl>
  </w:abstractNum>
  <w:num w:numId="1">
    <w:abstractNumId w:val="0"/>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eastAsia="zh-CN" w:val="en-US"/>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psCustomData="http://www.wps.cn/officeDocument/2013/wpsCustomData" mc:Ignorable="w14">
  <w:docDefaults>
    <w:rPrDefault>
      <w:rPr>
        <w:rFonts w:asciiTheme="minorHAnsi" w:cstheme="minorBidi" w:eastAsiaTheme="minorEastAsia" w:hAnsiTheme="minorHAnsi"/>
      </w:rPr>
    </w:rPrDefault>
    <w:pPrDefault/>
  </w:docDefaults>
  <w:latentStyles w:count="260"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qFormat="1" w:semiHidden="0" w:uiPriority="99"/>
    <w:lsdException w:name="footer" w:qFormat="1" w:semiHidden="0" w:uiPriority="99"/>
    <w:lsdException w:name="index heading" w:uiPriority="99"/>
    <w:lsdException w:name="caption" w:qFormat="1" w:uiPriority="35"/>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qFormat="1" w:semiHidden="0" w:uiPriority="10" w:unhideWhenUsed="0"/>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qFormat="1" w:semiHidden="0" w:uiPriority="11" w:unhideWhenUsed="0"/>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qFormat="1" w:semiHidden="0" w:uiPriority="0" w:unhideWhenUsed="0"/>
    <w:lsdException w:name="Emphasis" w:qFormat="1" w:semiHidden="0" w:uiPriority="20" w:unhideWhenUsed="0"/>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39" w:unhideWhenUsed="0"/>
    <w:lsdException w:name="Table Theme"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qFormat="1" w:semiHidden="0" w:uiPriority="3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default="1" w:styleId="1" w:type="paragraph">
    <w:name w:val="Normal"/>
    <w:qFormat/>
    <w:uiPriority w:val="0"/>
    <w:pPr>
      <w:widowControl w:val="0"/>
      <w:jc w:val="both"/>
    </w:pPr>
    <w:rPr>
      <w:rFonts w:ascii="Times New Roman" w:cs="Times New Roman" w:eastAsia="宋体" w:hAnsi="Times New Roman"/>
      <w:kern w:val="2"/>
      <w:sz w:val="21"/>
      <w:szCs w:val="24"/>
      <w:lang w:bidi="ar-SA" w:eastAsia="zh-CN" w:val="en-US"/>
    </w:rPr>
  </w:style>
  <w:style w:default="1" w:styleId="5" w:type="character">
    <w:name w:val="Default Paragraph Font"/>
    <w:semiHidden/>
    <w:unhideWhenUsed/>
    <w:uiPriority w:val="1"/>
  </w:style>
  <w:style w:default="1" w:styleId="4" w:type="table">
    <w:name w:val="Normal Table"/>
    <w:semiHidden/>
    <w:unhideWhenUsed/>
    <w:uiPriority w:val="99"/>
    <w:tblPr>
      <w:tblCellMar>
        <w:top w:type="dxa" w:w="0"/>
        <w:left w:type="dxa" w:w="108"/>
        <w:bottom w:type="dxa" w:w="0"/>
        <w:right w:type="dxa" w:w="108"/>
      </w:tblCellMar>
    </w:tblPr>
  </w:style>
  <w:style w:styleId="2" w:type="paragraph">
    <w:name w:val="footer"/>
    <w:basedOn w:val="1"/>
    <w:link w:val="8"/>
    <w:unhideWhenUsed/>
    <w:qFormat/>
    <w:uiPriority w:val="99"/>
    <w:pPr>
      <w:tabs>
        <w:tab w:pos="4153" w:val="center"/>
        <w:tab w:pos="8306" w:val="right"/>
      </w:tabs>
      <w:snapToGrid w:val="0"/>
      <w:jc w:val="left"/>
    </w:pPr>
    <w:rPr>
      <w:sz w:val="18"/>
      <w:szCs w:val="18"/>
    </w:rPr>
  </w:style>
  <w:style w:styleId="3" w:type="paragraph">
    <w:name w:val="header"/>
    <w:basedOn w:val="1"/>
    <w:link w:val="7"/>
    <w:unhideWhenUsed/>
    <w:qFormat/>
    <w:uiPriority w:val="99"/>
    <w:pPr>
      <w:pBdr>
        <w:bottom w:color="auto" w:space="1" w:sz="6" w:val="single"/>
      </w:pBdr>
      <w:tabs>
        <w:tab w:pos="4153" w:val="center"/>
        <w:tab w:pos="8306" w:val="right"/>
      </w:tabs>
      <w:snapToGrid w:val="0"/>
      <w:jc w:val="center"/>
    </w:pPr>
    <w:rPr>
      <w:sz w:val="18"/>
      <w:szCs w:val="18"/>
    </w:rPr>
  </w:style>
  <w:style w:styleId="6" w:type="character">
    <w:name w:val="Strong"/>
    <w:basedOn w:val="5"/>
    <w:qFormat/>
    <w:uiPriority w:val="0"/>
    <w:rPr>
      <w:b/>
      <w:bCs/>
    </w:rPr>
  </w:style>
  <w:style w:customStyle="1" w:styleId="7" w:type="character">
    <w:name w:val="页眉 字符"/>
    <w:basedOn w:val="5"/>
    <w:link w:val="3"/>
    <w:qFormat/>
    <w:uiPriority w:val="99"/>
    <w:rPr>
      <w:sz w:val="18"/>
      <w:szCs w:val="18"/>
    </w:rPr>
  </w:style>
  <w:style w:customStyle="1" w:styleId="8" w:type="character">
    <w:name w:val="页脚 字符"/>
    <w:basedOn w:val="5"/>
    <w:link w:val="2"/>
    <w:qFormat/>
    <w:uiPriority w:val="99"/>
    <w:rPr>
      <w:sz w:val="18"/>
      <w:szCs w:val="18"/>
    </w:rPr>
  </w:style>
  <w:style w:styleId="9" w:type="paragraph">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name="KSOProductBuildVer" pid="2">
    <vt:lpwstr>2052-12.1.0.16250</vt:lpwstr>
  </property>
  <property fmtid="{D5CDD505-2E9C-101B-9397-08002B2CF9AE}" name="ICV" pid="3">
    <vt:lpwstr>4E2A216151A24EE5A190066F518526B7</vt:lpwstr>
  </property>
</Properties>
</file>